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242" w:rsidRDefault="00E737A5" w:rsidP="00C40242">
      <w:pPr>
        <w:jc w:val="center"/>
        <w:rPr>
          <w:b/>
        </w:rPr>
      </w:pPr>
      <w:r>
        <w:rPr>
          <w:b/>
        </w:rPr>
        <w:t>Unit 1</w:t>
      </w:r>
    </w:p>
    <w:p w:rsidR="000B7F32" w:rsidRPr="00C40242" w:rsidRDefault="000B7F32" w:rsidP="00C40242">
      <w:pPr>
        <w:jc w:val="center"/>
        <w:rPr>
          <w:b/>
        </w:rPr>
      </w:pPr>
    </w:p>
    <w:tbl>
      <w:tblPr>
        <w:tblStyle w:val="TableGrid"/>
        <w:tblW w:w="0" w:type="auto"/>
        <w:tblLayout w:type="fixed"/>
        <w:tblLook w:val="00A0"/>
      </w:tblPr>
      <w:tblGrid>
        <w:gridCol w:w="2720"/>
        <w:gridCol w:w="416"/>
        <w:gridCol w:w="2122"/>
        <w:gridCol w:w="2159"/>
        <w:gridCol w:w="2159"/>
      </w:tblGrid>
      <w:tr w:rsidR="00C40242">
        <w:trPr>
          <w:trHeight w:val="432"/>
        </w:trPr>
        <w:tc>
          <w:tcPr>
            <w:tcW w:w="3136" w:type="dxa"/>
            <w:gridSpan w:val="2"/>
            <w:shd w:val="clear" w:color="auto" w:fill="D9D9D9" w:themeFill="background1" w:themeFillShade="D9"/>
            <w:vAlign w:val="center"/>
          </w:tcPr>
          <w:p w:rsidR="00C40242" w:rsidRDefault="00C40242" w:rsidP="000927CE">
            <w:pPr>
              <w:rPr>
                <w:b/>
              </w:rPr>
            </w:pPr>
            <w:r>
              <w:rPr>
                <w:b/>
              </w:rPr>
              <w:t>Department:</w:t>
            </w:r>
          </w:p>
        </w:tc>
        <w:tc>
          <w:tcPr>
            <w:tcW w:w="6440" w:type="dxa"/>
            <w:gridSpan w:val="3"/>
            <w:shd w:val="clear" w:color="auto" w:fill="auto"/>
            <w:vAlign w:val="center"/>
          </w:tcPr>
          <w:p w:rsidR="00C40242" w:rsidRDefault="00C40242" w:rsidP="004C4F5E">
            <w:pPr>
              <w:rPr>
                <w:b/>
              </w:rPr>
            </w:pPr>
            <w:r>
              <w:rPr>
                <w:b/>
              </w:rPr>
              <w:t>World Languages</w:t>
            </w:r>
          </w:p>
        </w:tc>
      </w:tr>
      <w:tr w:rsidR="00C40242">
        <w:trPr>
          <w:trHeight w:val="432"/>
        </w:trPr>
        <w:tc>
          <w:tcPr>
            <w:tcW w:w="3136" w:type="dxa"/>
            <w:gridSpan w:val="2"/>
            <w:shd w:val="clear" w:color="auto" w:fill="D9D9D9" w:themeFill="background1" w:themeFillShade="D9"/>
            <w:vAlign w:val="center"/>
          </w:tcPr>
          <w:p w:rsidR="00C40242" w:rsidRDefault="00C40242" w:rsidP="000927CE">
            <w:pPr>
              <w:rPr>
                <w:b/>
              </w:rPr>
            </w:pPr>
            <w:r>
              <w:rPr>
                <w:b/>
              </w:rPr>
              <w:t>Course:</w:t>
            </w:r>
          </w:p>
        </w:tc>
        <w:tc>
          <w:tcPr>
            <w:tcW w:w="6440" w:type="dxa"/>
            <w:gridSpan w:val="3"/>
            <w:shd w:val="clear" w:color="auto" w:fill="auto"/>
            <w:vAlign w:val="center"/>
          </w:tcPr>
          <w:p w:rsidR="00C40242" w:rsidRDefault="00C40242" w:rsidP="004C4F5E">
            <w:pPr>
              <w:rPr>
                <w:b/>
              </w:rPr>
            </w:pPr>
          </w:p>
        </w:tc>
      </w:tr>
      <w:tr w:rsidR="000927CE">
        <w:trPr>
          <w:trHeight w:val="432"/>
        </w:trPr>
        <w:tc>
          <w:tcPr>
            <w:tcW w:w="3136" w:type="dxa"/>
            <w:gridSpan w:val="2"/>
            <w:shd w:val="clear" w:color="auto" w:fill="D9D9D9" w:themeFill="background1" w:themeFillShade="D9"/>
            <w:vAlign w:val="center"/>
          </w:tcPr>
          <w:p w:rsidR="000927CE" w:rsidRPr="000416AD" w:rsidRDefault="000927CE" w:rsidP="000927CE">
            <w:pPr>
              <w:rPr>
                <w:b/>
              </w:rPr>
            </w:pPr>
            <w:r>
              <w:rPr>
                <w:b/>
              </w:rPr>
              <w:t>Theme:</w:t>
            </w:r>
          </w:p>
        </w:tc>
        <w:tc>
          <w:tcPr>
            <w:tcW w:w="6440" w:type="dxa"/>
            <w:gridSpan w:val="3"/>
            <w:shd w:val="clear" w:color="auto" w:fill="auto"/>
            <w:vAlign w:val="center"/>
          </w:tcPr>
          <w:p w:rsidR="000927CE" w:rsidRPr="000416AD" w:rsidRDefault="00801E53" w:rsidP="004C4F5E">
            <w:pPr>
              <w:rPr>
                <w:b/>
              </w:rPr>
            </w:pPr>
            <w:r>
              <w:rPr>
                <w:b/>
              </w:rPr>
              <w:t xml:space="preserve">Contemporary Life   </w:t>
            </w:r>
          </w:p>
        </w:tc>
      </w:tr>
      <w:tr w:rsidR="000927CE">
        <w:trPr>
          <w:trHeight w:val="432"/>
        </w:trPr>
        <w:tc>
          <w:tcPr>
            <w:tcW w:w="3136" w:type="dxa"/>
            <w:gridSpan w:val="2"/>
            <w:shd w:val="clear" w:color="auto" w:fill="D9D9D9" w:themeFill="background1" w:themeFillShade="D9"/>
            <w:vAlign w:val="center"/>
          </w:tcPr>
          <w:p w:rsidR="000927CE" w:rsidRPr="000416AD" w:rsidRDefault="000927CE" w:rsidP="000927CE">
            <w:pPr>
              <w:rPr>
                <w:b/>
              </w:rPr>
            </w:pPr>
            <w:r>
              <w:rPr>
                <w:b/>
              </w:rPr>
              <w:t>Topic:</w:t>
            </w:r>
          </w:p>
        </w:tc>
        <w:tc>
          <w:tcPr>
            <w:tcW w:w="6440" w:type="dxa"/>
            <w:gridSpan w:val="3"/>
            <w:shd w:val="clear" w:color="auto" w:fill="auto"/>
            <w:vAlign w:val="center"/>
          </w:tcPr>
          <w:p w:rsidR="000927CE" w:rsidRPr="000416AD" w:rsidRDefault="00801E53" w:rsidP="000927CE">
            <w:pPr>
              <w:rPr>
                <w:b/>
              </w:rPr>
            </w:pPr>
            <w:r>
              <w:rPr>
                <w:b/>
              </w:rPr>
              <w:t>Rites of passage</w:t>
            </w:r>
          </w:p>
        </w:tc>
      </w:tr>
      <w:tr w:rsidR="004C4F5E">
        <w:trPr>
          <w:cantSplit/>
          <w:trHeight w:val="432"/>
        </w:trPr>
        <w:tc>
          <w:tcPr>
            <w:tcW w:w="3136" w:type="dxa"/>
            <w:gridSpan w:val="2"/>
            <w:shd w:val="clear" w:color="auto" w:fill="D9D9D9" w:themeFill="background1" w:themeFillShade="D9"/>
            <w:vAlign w:val="center"/>
          </w:tcPr>
          <w:p w:rsidR="004C4F5E" w:rsidRPr="000416AD" w:rsidRDefault="004C4F5E" w:rsidP="004C4F5E">
            <w:pPr>
              <w:rPr>
                <w:b/>
              </w:rPr>
            </w:pPr>
            <w:r>
              <w:rPr>
                <w:b/>
              </w:rPr>
              <w:t>Learning Scenario</w:t>
            </w:r>
          </w:p>
        </w:tc>
        <w:tc>
          <w:tcPr>
            <w:tcW w:w="6440" w:type="dxa"/>
            <w:gridSpan w:val="3"/>
            <w:shd w:val="clear" w:color="auto" w:fill="auto"/>
            <w:vAlign w:val="center"/>
          </w:tcPr>
          <w:p w:rsidR="00801E53" w:rsidRPr="00801E53" w:rsidRDefault="00801E53" w:rsidP="00801E53">
            <w:pPr>
              <w:rPr>
                <w:rFonts w:ascii="Cambria" w:eastAsia="Cambria" w:hAnsi="Cambria" w:cs="Times New Roman"/>
              </w:rPr>
            </w:pPr>
            <w:r w:rsidRPr="00801E53">
              <w:rPr>
                <w:rFonts w:ascii="Cambria" w:eastAsia="Cambria" w:hAnsi="Cambria" w:cs="Times New Roman"/>
              </w:rPr>
              <w:t xml:space="preserve">Students </w:t>
            </w:r>
            <w:r w:rsidRPr="00801E53">
              <w:t>discuss</w:t>
            </w:r>
            <w:r w:rsidRPr="00801E53">
              <w:rPr>
                <w:rFonts w:ascii="Cambria" w:eastAsia="Cambria" w:hAnsi="Cambria" w:cs="Times New Roman"/>
              </w:rPr>
              <w:t xml:space="preserve"> the traditions in Spanish-speaking countries for identifying when one enters “adulthood”. </w:t>
            </w:r>
            <w:r w:rsidRPr="00801E53">
              <w:t xml:space="preserve"> </w:t>
            </w:r>
            <w:r w:rsidRPr="00801E53">
              <w:rPr>
                <w:rFonts w:ascii="Cambria" w:eastAsia="Cambria" w:hAnsi="Cambria" w:cs="Times New Roman"/>
              </w:rPr>
              <w:t xml:space="preserve">They </w:t>
            </w:r>
            <w:r w:rsidRPr="00801E53">
              <w:t>compare and contrast</w:t>
            </w:r>
            <w:r w:rsidRPr="00801E53">
              <w:rPr>
                <w:rFonts w:ascii="Cambria" w:eastAsia="Cambria" w:hAnsi="Cambria" w:cs="Times New Roman"/>
              </w:rPr>
              <w:t xml:space="preserve"> ceremonies and rituals, such as the “los quince </w:t>
            </w:r>
            <w:proofErr w:type="spellStart"/>
            <w:r w:rsidRPr="00801E53">
              <w:rPr>
                <w:rFonts w:ascii="Cambria" w:eastAsia="Cambria" w:hAnsi="Cambria" w:cs="Times New Roman"/>
              </w:rPr>
              <w:t>años</w:t>
            </w:r>
            <w:proofErr w:type="spellEnd"/>
            <w:r w:rsidRPr="00801E53">
              <w:rPr>
                <w:rFonts w:ascii="Cambria" w:eastAsia="Cambria" w:hAnsi="Cambria" w:cs="Times New Roman"/>
              </w:rPr>
              <w:t xml:space="preserve">” with “Sweet sixteen” parties in the United States. They </w:t>
            </w:r>
            <w:r w:rsidRPr="00801E53">
              <w:t>discuss</w:t>
            </w:r>
            <w:r w:rsidRPr="00801E53">
              <w:rPr>
                <w:rFonts w:ascii="Cambria" w:eastAsia="Cambria" w:hAnsi="Cambria" w:cs="Times New Roman"/>
              </w:rPr>
              <w:t xml:space="preserve"> first communions and other religious coming-of-age celebrations. They </w:t>
            </w:r>
            <w:r w:rsidRPr="00801E53">
              <w:t>will analyze</w:t>
            </w:r>
            <w:r w:rsidRPr="00801E53">
              <w:rPr>
                <w:rFonts w:ascii="Cambria" w:eastAsia="Cambria" w:hAnsi="Cambria" w:cs="Times New Roman"/>
              </w:rPr>
              <w:t xml:space="preserve"> specific rights and responsibilities that are granted at certain ages in the U.S., such as getting a driver’s license and being able to vote. From this background they </w:t>
            </w:r>
            <w:r w:rsidRPr="00801E53">
              <w:t xml:space="preserve">will create </w:t>
            </w:r>
            <w:r w:rsidRPr="00801E53">
              <w:rPr>
                <w:rFonts w:ascii="Cambria" w:eastAsia="Cambria" w:hAnsi="Cambria" w:cs="Times New Roman"/>
              </w:rPr>
              <w:t xml:space="preserve">a questionnaire regarding  rites of passage and </w:t>
            </w:r>
            <w:r w:rsidRPr="00801E53">
              <w:t xml:space="preserve">will be </w:t>
            </w:r>
            <w:r w:rsidRPr="00801E53">
              <w:rPr>
                <w:rFonts w:ascii="Cambria" w:eastAsia="Cambria" w:hAnsi="Cambria" w:cs="Times New Roman"/>
              </w:rPr>
              <w:t xml:space="preserve">assigned to survey at least five members of the Spanish-speaking community and five members of other ethnic backgrounds. Working in groups, they collect and analyze the responses and make summary statements regarding the traditions about one’s passage to adulthood </w:t>
            </w:r>
            <w:r w:rsidRPr="00801E53">
              <w:t xml:space="preserve">in American cultures and elsewhere in the world. </w:t>
            </w:r>
          </w:p>
          <w:p w:rsidR="000E697C" w:rsidRDefault="000E697C" w:rsidP="00A4446A">
            <w:pPr>
              <w:widowControl w:val="0"/>
              <w:tabs>
                <w:tab w:val="left" w:pos="220"/>
              </w:tabs>
              <w:autoSpaceDE w:val="0"/>
              <w:autoSpaceDN w:val="0"/>
              <w:adjustRightInd w:val="0"/>
              <w:rPr>
                <w:rFonts w:cs="Verdana"/>
                <w:szCs w:val="22"/>
                <w:lang w:bidi="en-US"/>
              </w:rPr>
            </w:pPr>
          </w:p>
          <w:p w:rsidR="000E697C" w:rsidRDefault="000E697C" w:rsidP="00A4446A">
            <w:pPr>
              <w:widowControl w:val="0"/>
              <w:tabs>
                <w:tab w:val="left" w:pos="220"/>
              </w:tabs>
              <w:autoSpaceDE w:val="0"/>
              <w:autoSpaceDN w:val="0"/>
              <w:adjustRightInd w:val="0"/>
              <w:rPr>
                <w:rFonts w:cs="Verdana"/>
                <w:szCs w:val="22"/>
                <w:lang w:bidi="en-US"/>
              </w:rPr>
            </w:pPr>
          </w:p>
          <w:p w:rsidR="000E697C" w:rsidRPr="005F73AC" w:rsidRDefault="000E697C" w:rsidP="00A4446A">
            <w:pPr>
              <w:widowControl w:val="0"/>
              <w:tabs>
                <w:tab w:val="left" w:pos="220"/>
              </w:tabs>
              <w:autoSpaceDE w:val="0"/>
              <w:autoSpaceDN w:val="0"/>
              <w:adjustRightInd w:val="0"/>
              <w:rPr>
                <w:rFonts w:cs="Verdana"/>
                <w:szCs w:val="22"/>
                <w:lang w:bidi="en-US"/>
              </w:rPr>
            </w:pPr>
          </w:p>
        </w:tc>
      </w:tr>
      <w:tr w:rsidR="008953DF">
        <w:trPr>
          <w:trHeight w:val="432"/>
        </w:trPr>
        <w:tc>
          <w:tcPr>
            <w:tcW w:w="3136" w:type="dxa"/>
            <w:gridSpan w:val="2"/>
            <w:shd w:val="clear" w:color="auto" w:fill="D9D9D9" w:themeFill="background1" w:themeFillShade="D9"/>
            <w:vAlign w:val="center"/>
          </w:tcPr>
          <w:p w:rsidR="008953DF" w:rsidRDefault="008953DF" w:rsidP="004C4F5E">
            <w:pPr>
              <w:rPr>
                <w:b/>
              </w:rPr>
            </w:pPr>
            <w:r>
              <w:rPr>
                <w:b/>
              </w:rPr>
              <w:t>Standard(s):</w:t>
            </w:r>
          </w:p>
        </w:tc>
        <w:tc>
          <w:tcPr>
            <w:tcW w:w="6440" w:type="dxa"/>
            <w:gridSpan w:val="3"/>
            <w:shd w:val="clear" w:color="auto" w:fill="auto"/>
            <w:vAlign w:val="center"/>
          </w:tcPr>
          <w:p w:rsidR="008953DF" w:rsidRPr="003A2700" w:rsidRDefault="008953DF" w:rsidP="004C4F5E"/>
        </w:tc>
      </w:tr>
      <w:tr w:rsidR="000416AD">
        <w:trPr>
          <w:trHeight w:val="432"/>
        </w:trPr>
        <w:tc>
          <w:tcPr>
            <w:tcW w:w="9576" w:type="dxa"/>
            <w:gridSpan w:val="5"/>
            <w:shd w:val="clear" w:color="auto" w:fill="FFFF00"/>
            <w:vAlign w:val="center"/>
          </w:tcPr>
          <w:p w:rsidR="000416AD" w:rsidRPr="000416AD" w:rsidRDefault="000416AD" w:rsidP="000416AD">
            <w:pPr>
              <w:jc w:val="center"/>
              <w:rPr>
                <w:b/>
              </w:rPr>
            </w:pPr>
            <w:r w:rsidRPr="000416AD">
              <w:rPr>
                <w:b/>
              </w:rPr>
              <w:t xml:space="preserve"> Desired Results</w:t>
            </w:r>
          </w:p>
        </w:tc>
      </w:tr>
      <w:tr w:rsidR="008953DF">
        <w:tc>
          <w:tcPr>
            <w:tcW w:w="3136" w:type="dxa"/>
            <w:gridSpan w:val="2"/>
            <w:shd w:val="clear" w:color="auto" w:fill="D9D9D9" w:themeFill="background1" w:themeFillShade="D9"/>
          </w:tcPr>
          <w:p w:rsidR="008953DF" w:rsidRPr="008953DF" w:rsidRDefault="008953DF" w:rsidP="008953DF">
            <w:pPr>
              <w:rPr>
                <w:b/>
              </w:rPr>
            </w:pPr>
            <w:r w:rsidRPr="000416AD">
              <w:rPr>
                <w:b/>
              </w:rPr>
              <w:t>Understandings</w:t>
            </w:r>
          </w:p>
        </w:tc>
        <w:tc>
          <w:tcPr>
            <w:tcW w:w="6440" w:type="dxa"/>
            <w:gridSpan w:val="3"/>
          </w:tcPr>
          <w:p w:rsidR="000E697C" w:rsidRPr="00801E53" w:rsidRDefault="00801E53" w:rsidP="00801E53">
            <w:pPr>
              <w:pStyle w:val="ListParagraph"/>
              <w:numPr>
                <w:ilvl w:val="0"/>
                <w:numId w:val="19"/>
              </w:numPr>
              <w:ind w:left="288" w:hanging="288"/>
              <w:rPr>
                <w:rFonts w:cs="Verdana"/>
                <w:szCs w:val="22"/>
                <w:lang w:bidi="en-US"/>
              </w:rPr>
            </w:pPr>
            <w:r>
              <w:rPr>
                <w:rFonts w:ascii="Cambria" w:eastAsia="Cambria" w:hAnsi="Cambria" w:cs="Times New Roman"/>
              </w:rPr>
              <w:t xml:space="preserve">All cultures celebrate significant </w:t>
            </w:r>
            <w:r>
              <w:t>milestones in individual lives.</w:t>
            </w:r>
          </w:p>
          <w:p w:rsidR="00801E53" w:rsidRDefault="00801E53" w:rsidP="00801E53">
            <w:pPr>
              <w:pStyle w:val="ListParagraph"/>
              <w:numPr>
                <w:ilvl w:val="0"/>
                <w:numId w:val="19"/>
              </w:numPr>
              <w:ind w:left="288" w:hanging="288"/>
              <w:rPr>
                <w:rFonts w:ascii="Cambria" w:eastAsia="Cambria" w:hAnsi="Cambria" w:cs="Times New Roman"/>
              </w:rPr>
            </w:pPr>
            <w:r>
              <w:rPr>
                <w:rFonts w:ascii="Cambria" w:eastAsia="Cambria" w:hAnsi="Cambria" w:cs="Times New Roman"/>
              </w:rPr>
              <w:t>How milestones are celebrated varies from one culture to another.</w:t>
            </w:r>
          </w:p>
          <w:p w:rsidR="000E697C" w:rsidRPr="00801E53" w:rsidRDefault="00801E53" w:rsidP="00801E53">
            <w:pPr>
              <w:pStyle w:val="ListParagraph"/>
              <w:numPr>
                <w:ilvl w:val="0"/>
                <w:numId w:val="19"/>
              </w:numPr>
              <w:ind w:left="288" w:hanging="288"/>
              <w:rPr>
                <w:rFonts w:cs="Verdana"/>
                <w:szCs w:val="22"/>
                <w:lang w:bidi="en-US"/>
              </w:rPr>
            </w:pPr>
            <w:r>
              <w:rPr>
                <w:rFonts w:ascii="Cambria" w:eastAsia="Cambria" w:hAnsi="Cambria" w:cs="Times New Roman"/>
              </w:rPr>
              <w:t xml:space="preserve">Understanding the purpose of a celebration offers new perspectives on another culture. </w:t>
            </w:r>
          </w:p>
          <w:p w:rsidR="000E697C" w:rsidRDefault="000E697C" w:rsidP="000E697C">
            <w:pPr>
              <w:rPr>
                <w:rFonts w:cs="Verdana"/>
                <w:szCs w:val="22"/>
                <w:lang w:bidi="en-US"/>
              </w:rPr>
            </w:pPr>
          </w:p>
          <w:p w:rsidR="008953DF" w:rsidRPr="00A4446A" w:rsidRDefault="00E35974" w:rsidP="000E697C">
            <w:pPr>
              <w:rPr>
                <w:rFonts w:cs="Verdana"/>
                <w:szCs w:val="22"/>
                <w:lang w:bidi="en-US"/>
              </w:rPr>
            </w:pPr>
            <w:r w:rsidRPr="003A2700">
              <w:rPr>
                <w:rFonts w:cs="Verdana"/>
                <w:szCs w:val="22"/>
                <w:lang w:bidi="en-US"/>
              </w:rPr>
              <w:t xml:space="preserve"> </w:t>
            </w:r>
          </w:p>
        </w:tc>
      </w:tr>
      <w:tr w:rsidR="008953DF">
        <w:tc>
          <w:tcPr>
            <w:tcW w:w="3136" w:type="dxa"/>
            <w:gridSpan w:val="2"/>
            <w:shd w:val="clear" w:color="auto" w:fill="D9D9D9" w:themeFill="background1" w:themeFillShade="D9"/>
          </w:tcPr>
          <w:p w:rsidR="008953DF" w:rsidRDefault="008953DF" w:rsidP="008953DF">
            <w:pPr>
              <w:rPr>
                <w:b/>
              </w:rPr>
            </w:pPr>
            <w:r>
              <w:rPr>
                <w:b/>
              </w:rPr>
              <w:t>Essential Questions</w:t>
            </w:r>
          </w:p>
        </w:tc>
        <w:tc>
          <w:tcPr>
            <w:tcW w:w="6440" w:type="dxa"/>
            <w:gridSpan w:val="3"/>
          </w:tcPr>
          <w:p w:rsidR="000E697C" w:rsidRDefault="00801E53" w:rsidP="000E697C">
            <w:pPr>
              <w:rPr>
                <w:rFonts w:cs="Verdana"/>
                <w:szCs w:val="22"/>
                <w:lang w:bidi="en-US"/>
              </w:rPr>
            </w:pPr>
            <w:r>
              <w:rPr>
                <w:rFonts w:cs="Verdana"/>
                <w:szCs w:val="22"/>
                <w:lang w:bidi="en-US"/>
              </w:rPr>
              <w:t>Why is it important to celebrate significant events?</w:t>
            </w:r>
          </w:p>
          <w:p w:rsidR="000E697C" w:rsidRDefault="00801E53" w:rsidP="000E697C">
            <w:pPr>
              <w:rPr>
                <w:rFonts w:cs="Verdana"/>
                <w:szCs w:val="22"/>
                <w:lang w:bidi="en-US"/>
              </w:rPr>
            </w:pPr>
            <w:r>
              <w:rPr>
                <w:rFonts w:cs="Verdana"/>
                <w:szCs w:val="22"/>
                <w:lang w:bidi="en-US"/>
              </w:rPr>
              <w:t>What makes an event a significant milestone?</w:t>
            </w:r>
          </w:p>
          <w:p w:rsidR="000E697C" w:rsidRDefault="000E697C" w:rsidP="000E697C">
            <w:pPr>
              <w:rPr>
                <w:rFonts w:cs="Verdana"/>
                <w:szCs w:val="22"/>
                <w:lang w:bidi="en-US"/>
              </w:rPr>
            </w:pPr>
          </w:p>
          <w:p w:rsidR="008953DF" w:rsidRPr="00A4446A" w:rsidRDefault="00E35974" w:rsidP="000E697C">
            <w:pPr>
              <w:rPr>
                <w:rFonts w:cs="Verdana"/>
                <w:szCs w:val="22"/>
                <w:lang w:bidi="en-US"/>
              </w:rPr>
            </w:pPr>
            <w:r w:rsidRPr="00022AE5">
              <w:rPr>
                <w:rFonts w:cs="Verdana"/>
                <w:szCs w:val="22"/>
                <w:lang w:bidi="en-US"/>
              </w:rPr>
              <w:t xml:space="preserve"> </w:t>
            </w:r>
          </w:p>
        </w:tc>
      </w:tr>
      <w:tr w:rsidR="00801E53">
        <w:trPr>
          <w:trHeight w:val="560"/>
        </w:trPr>
        <w:tc>
          <w:tcPr>
            <w:tcW w:w="5258" w:type="dxa"/>
            <w:gridSpan w:val="3"/>
            <w:vMerge w:val="restart"/>
            <w:shd w:val="clear" w:color="auto" w:fill="D9D9D9" w:themeFill="background1" w:themeFillShade="D9"/>
          </w:tcPr>
          <w:p w:rsidR="00801E53" w:rsidRPr="004D4008" w:rsidRDefault="00801E53" w:rsidP="004D4008">
            <w:pPr>
              <w:jc w:val="center"/>
              <w:rPr>
                <w:b/>
              </w:rPr>
            </w:pPr>
            <w:r>
              <w:rPr>
                <w:b/>
              </w:rPr>
              <w:t>Skills / Functions</w:t>
            </w:r>
          </w:p>
          <w:p w:rsidR="00801E53" w:rsidRDefault="00801E53" w:rsidP="000927CE">
            <w:pPr>
              <w:jc w:val="center"/>
            </w:pPr>
            <w:r>
              <w:t>what students will know and be able to do</w:t>
            </w:r>
          </w:p>
          <w:p w:rsidR="00801E53" w:rsidRDefault="00801E53" w:rsidP="000927CE"/>
        </w:tc>
        <w:tc>
          <w:tcPr>
            <w:tcW w:w="4318" w:type="dxa"/>
            <w:gridSpan w:val="2"/>
            <w:shd w:val="clear" w:color="auto" w:fill="D9D9D9" w:themeFill="background1" w:themeFillShade="D9"/>
            <w:vAlign w:val="center"/>
          </w:tcPr>
          <w:p w:rsidR="00801E53" w:rsidRPr="004D4008" w:rsidRDefault="00801E53" w:rsidP="00BE012C">
            <w:pPr>
              <w:jc w:val="center"/>
              <w:rPr>
                <w:b/>
              </w:rPr>
            </w:pPr>
            <w:r w:rsidRPr="004D4008">
              <w:rPr>
                <w:b/>
              </w:rPr>
              <w:t xml:space="preserve">Knowledge </w:t>
            </w:r>
          </w:p>
          <w:p w:rsidR="00801E53" w:rsidRDefault="00801E53" w:rsidP="000927CE">
            <w:pPr>
              <w:jc w:val="center"/>
            </w:pPr>
            <w:r>
              <w:t>what students will need in terms of vocabulary and structures to demonstrate their knowledge</w:t>
            </w:r>
          </w:p>
        </w:tc>
      </w:tr>
      <w:tr w:rsidR="00801E53">
        <w:trPr>
          <w:trHeight w:val="560"/>
        </w:trPr>
        <w:tc>
          <w:tcPr>
            <w:tcW w:w="5258" w:type="dxa"/>
            <w:gridSpan w:val="3"/>
            <w:vMerge/>
            <w:shd w:val="clear" w:color="auto" w:fill="D9D9D9" w:themeFill="background1" w:themeFillShade="D9"/>
          </w:tcPr>
          <w:p w:rsidR="00801E53" w:rsidRDefault="00801E53" w:rsidP="004D4008">
            <w:pPr>
              <w:jc w:val="center"/>
              <w:rPr>
                <w:b/>
              </w:rPr>
            </w:pPr>
          </w:p>
        </w:tc>
        <w:tc>
          <w:tcPr>
            <w:tcW w:w="2159" w:type="dxa"/>
            <w:shd w:val="clear" w:color="auto" w:fill="D9D9D9" w:themeFill="background1" w:themeFillShade="D9"/>
            <w:vAlign w:val="center"/>
          </w:tcPr>
          <w:p w:rsidR="00801E53" w:rsidRPr="004D4008" w:rsidRDefault="00801E53" w:rsidP="00BE012C">
            <w:pPr>
              <w:jc w:val="center"/>
              <w:rPr>
                <w:b/>
              </w:rPr>
            </w:pPr>
            <w:r>
              <w:rPr>
                <w:b/>
              </w:rPr>
              <w:t>Vocabulary</w:t>
            </w:r>
          </w:p>
        </w:tc>
        <w:tc>
          <w:tcPr>
            <w:tcW w:w="2159" w:type="dxa"/>
            <w:shd w:val="clear" w:color="auto" w:fill="D9D9D9" w:themeFill="background1" w:themeFillShade="D9"/>
            <w:vAlign w:val="center"/>
          </w:tcPr>
          <w:p w:rsidR="00801E53" w:rsidRPr="004D4008" w:rsidRDefault="00801E53" w:rsidP="00BE012C">
            <w:pPr>
              <w:jc w:val="center"/>
              <w:rPr>
                <w:b/>
              </w:rPr>
            </w:pPr>
            <w:r>
              <w:rPr>
                <w:b/>
              </w:rPr>
              <w:t>Structures</w:t>
            </w:r>
          </w:p>
        </w:tc>
      </w:tr>
      <w:tr w:rsidR="00801E53">
        <w:trPr>
          <w:cantSplit/>
          <w:trHeight w:val="290"/>
        </w:trPr>
        <w:tc>
          <w:tcPr>
            <w:tcW w:w="5258" w:type="dxa"/>
            <w:gridSpan w:val="3"/>
          </w:tcPr>
          <w:p w:rsidR="00801E53" w:rsidRDefault="00801E53" w:rsidP="00801E53">
            <w:pPr>
              <w:rPr>
                <w:rFonts w:ascii="Times New Roman" w:hAnsi="Times New Roman" w:cs="Times New Roman"/>
              </w:rPr>
            </w:pPr>
            <w:r>
              <w:rPr>
                <w:rFonts w:ascii="Cambria" w:eastAsia="Cambria" w:hAnsi="Cambria" w:cs="Times New Roman"/>
              </w:rPr>
              <w:t xml:space="preserve">discuss the </w:t>
            </w:r>
            <w:r>
              <w:t xml:space="preserve">rites of passage </w:t>
            </w:r>
            <w:r>
              <w:rPr>
                <w:rFonts w:ascii="Cambria" w:eastAsia="Cambria" w:hAnsi="Cambria" w:cs="Times New Roman"/>
              </w:rPr>
              <w:t>and religious celebrations of their own families</w:t>
            </w:r>
          </w:p>
        </w:tc>
        <w:tc>
          <w:tcPr>
            <w:tcW w:w="2159" w:type="dxa"/>
          </w:tcPr>
          <w:p w:rsidR="00801E53" w:rsidRDefault="00801E53" w:rsidP="000927CE">
            <w:r>
              <w:t>related to parties, events</w:t>
            </w:r>
          </w:p>
        </w:tc>
        <w:tc>
          <w:tcPr>
            <w:tcW w:w="2159" w:type="dxa"/>
          </w:tcPr>
          <w:p w:rsidR="000C44F3" w:rsidRDefault="00801E53" w:rsidP="000927CE">
            <w:proofErr w:type="spellStart"/>
            <w:r>
              <w:t>preterite</w:t>
            </w:r>
            <w:proofErr w:type="spellEnd"/>
            <w:r>
              <w:t>/</w:t>
            </w:r>
          </w:p>
          <w:p w:rsidR="00801E53" w:rsidRDefault="00801E53" w:rsidP="000927CE">
            <w:r>
              <w:t>imperfect</w:t>
            </w:r>
          </w:p>
        </w:tc>
      </w:tr>
      <w:tr w:rsidR="00801E53">
        <w:trPr>
          <w:cantSplit/>
          <w:trHeight w:val="290"/>
        </w:trPr>
        <w:tc>
          <w:tcPr>
            <w:tcW w:w="5258" w:type="dxa"/>
            <w:gridSpan w:val="3"/>
          </w:tcPr>
          <w:p w:rsidR="00801E53" w:rsidRDefault="00801E53" w:rsidP="00801E53">
            <w:pPr>
              <w:rPr>
                <w:rFonts w:ascii="Times New Roman" w:hAnsi="Times New Roman" w:cs="Times New Roman"/>
              </w:rPr>
            </w:pPr>
            <w:r>
              <w:rPr>
                <w:rFonts w:ascii="Cambria" w:eastAsia="Cambria" w:hAnsi="Cambria" w:cs="Times New Roman"/>
              </w:rPr>
              <w:t xml:space="preserve">Identify various </w:t>
            </w:r>
            <w:r>
              <w:t>rites of passage</w:t>
            </w:r>
            <w:r>
              <w:rPr>
                <w:rFonts w:ascii="Cambria" w:eastAsia="Cambria" w:hAnsi="Cambria" w:cs="Times New Roman"/>
              </w:rPr>
              <w:t xml:space="preserve">  from other cultures and countries</w:t>
            </w:r>
          </w:p>
        </w:tc>
        <w:tc>
          <w:tcPr>
            <w:tcW w:w="2159" w:type="dxa"/>
          </w:tcPr>
          <w:p w:rsidR="00801E53" w:rsidRDefault="00801E53" w:rsidP="000927CE"/>
        </w:tc>
        <w:tc>
          <w:tcPr>
            <w:tcW w:w="2159" w:type="dxa"/>
          </w:tcPr>
          <w:p w:rsidR="000745C7" w:rsidRDefault="000745C7" w:rsidP="000927CE">
            <w:proofErr w:type="spellStart"/>
            <w:r>
              <w:t>comparitive</w:t>
            </w:r>
            <w:proofErr w:type="spellEnd"/>
            <w:r>
              <w:t>/</w:t>
            </w:r>
          </w:p>
          <w:p w:rsidR="00801E53" w:rsidRDefault="000745C7" w:rsidP="000927CE">
            <w:r>
              <w:t>superlative</w:t>
            </w:r>
          </w:p>
        </w:tc>
      </w:tr>
      <w:tr w:rsidR="00801E53">
        <w:trPr>
          <w:cantSplit/>
          <w:trHeight w:val="290"/>
        </w:trPr>
        <w:tc>
          <w:tcPr>
            <w:tcW w:w="5258" w:type="dxa"/>
            <w:gridSpan w:val="3"/>
          </w:tcPr>
          <w:p w:rsidR="00801E53" w:rsidRDefault="00801E53" w:rsidP="00801E53">
            <w:pPr>
              <w:rPr>
                <w:rFonts w:ascii="Times New Roman" w:hAnsi="Times New Roman" w:cs="Times New Roman"/>
              </w:rPr>
            </w:pPr>
            <w:r>
              <w:t>e</w:t>
            </w:r>
            <w:r>
              <w:rPr>
                <w:rFonts w:ascii="Cambria" w:eastAsia="Cambria" w:hAnsi="Cambria" w:cs="Times New Roman"/>
              </w:rPr>
              <w:t xml:space="preserve">xplain different </w:t>
            </w:r>
            <w:r>
              <w:t>rites of passage</w:t>
            </w:r>
            <w:r>
              <w:rPr>
                <w:rFonts w:ascii="Cambria" w:eastAsia="Cambria" w:hAnsi="Cambria" w:cs="Times New Roman"/>
              </w:rPr>
              <w:t xml:space="preserve"> and why they are celebrated in different countries</w:t>
            </w:r>
          </w:p>
        </w:tc>
        <w:tc>
          <w:tcPr>
            <w:tcW w:w="2159" w:type="dxa"/>
          </w:tcPr>
          <w:p w:rsidR="00801E53" w:rsidRDefault="00801E53" w:rsidP="000927CE"/>
        </w:tc>
        <w:tc>
          <w:tcPr>
            <w:tcW w:w="2159" w:type="dxa"/>
          </w:tcPr>
          <w:p w:rsidR="00801E53" w:rsidRDefault="00801E53" w:rsidP="000927CE"/>
        </w:tc>
      </w:tr>
      <w:tr w:rsidR="00801E53">
        <w:trPr>
          <w:cantSplit/>
          <w:trHeight w:val="290"/>
        </w:trPr>
        <w:tc>
          <w:tcPr>
            <w:tcW w:w="5258" w:type="dxa"/>
            <w:gridSpan w:val="3"/>
          </w:tcPr>
          <w:p w:rsidR="00801E53" w:rsidRPr="00835006" w:rsidRDefault="00801E53" w:rsidP="000927CE">
            <w:pPr>
              <w:rPr>
                <w:rFonts w:cs="Times New Roman"/>
              </w:rPr>
            </w:pPr>
            <w:r w:rsidRPr="00835006">
              <w:rPr>
                <w:rFonts w:cs="Times New Roman"/>
              </w:rPr>
              <w:t xml:space="preserve">retell </w:t>
            </w:r>
            <w:r w:rsidR="00835006" w:rsidRPr="00835006">
              <w:rPr>
                <w:rFonts w:cs="Times New Roman"/>
              </w:rPr>
              <w:t>personal experiences based on coming of age themes</w:t>
            </w:r>
          </w:p>
        </w:tc>
        <w:tc>
          <w:tcPr>
            <w:tcW w:w="2159" w:type="dxa"/>
          </w:tcPr>
          <w:p w:rsidR="00801E53" w:rsidRDefault="00801E53" w:rsidP="000927CE"/>
        </w:tc>
        <w:tc>
          <w:tcPr>
            <w:tcW w:w="2159" w:type="dxa"/>
          </w:tcPr>
          <w:p w:rsidR="00801E53" w:rsidRDefault="00801E53" w:rsidP="000927CE"/>
        </w:tc>
      </w:tr>
      <w:tr w:rsidR="00801E53">
        <w:trPr>
          <w:cantSplit/>
          <w:trHeight w:val="290"/>
        </w:trPr>
        <w:tc>
          <w:tcPr>
            <w:tcW w:w="5258" w:type="dxa"/>
            <w:gridSpan w:val="3"/>
          </w:tcPr>
          <w:p w:rsidR="00801E53" w:rsidRDefault="00835006" w:rsidP="000927CE">
            <w:pPr>
              <w:rPr>
                <w:rFonts w:ascii="Times New Roman" w:hAnsi="Times New Roman" w:cs="Times New Roman"/>
              </w:rPr>
            </w:pPr>
            <w:r>
              <w:rPr>
                <w:rFonts w:ascii="Times New Roman" w:hAnsi="Times New Roman" w:cs="Times New Roman"/>
              </w:rPr>
              <w:t>identify irony and explain in concrete terms</w:t>
            </w:r>
          </w:p>
        </w:tc>
        <w:tc>
          <w:tcPr>
            <w:tcW w:w="2159" w:type="dxa"/>
          </w:tcPr>
          <w:p w:rsidR="00801E53" w:rsidRDefault="00801E53" w:rsidP="000927CE"/>
        </w:tc>
        <w:tc>
          <w:tcPr>
            <w:tcW w:w="2159" w:type="dxa"/>
          </w:tcPr>
          <w:p w:rsidR="00801E53" w:rsidRDefault="00801E53" w:rsidP="000927CE"/>
        </w:tc>
      </w:tr>
      <w:tr w:rsidR="00801E53">
        <w:trPr>
          <w:cantSplit/>
          <w:trHeight w:val="290"/>
        </w:trPr>
        <w:tc>
          <w:tcPr>
            <w:tcW w:w="5258" w:type="dxa"/>
            <w:gridSpan w:val="3"/>
          </w:tcPr>
          <w:p w:rsidR="00801E53" w:rsidRDefault="00835006" w:rsidP="000927CE">
            <w:pPr>
              <w:rPr>
                <w:rFonts w:ascii="Times New Roman" w:hAnsi="Times New Roman" w:cs="Times New Roman"/>
              </w:rPr>
            </w:pPr>
            <w:r>
              <w:rPr>
                <w:rFonts w:ascii="Times New Roman" w:hAnsi="Times New Roman" w:cs="Times New Roman"/>
              </w:rPr>
              <w:t>identify literary elements of a story</w:t>
            </w:r>
          </w:p>
        </w:tc>
        <w:tc>
          <w:tcPr>
            <w:tcW w:w="2159" w:type="dxa"/>
          </w:tcPr>
          <w:p w:rsidR="00801E53" w:rsidRDefault="00835006" w:rsidP="000927CE">
            <w:r>
              <w:t xml:space="preserve">include </w:t>
            </w:r>
            <w:proofErr w:type="spellStart"/>
            <w:r>
              <w:t>vocab</w:t>
            </w:r>
            <w:proofErr w:type="spellEnd"/>
            <w:r>
              <w:t xml:space="preserve"> that you want them to have to discuss story elements – rising action, protagonist, etc. </w:t>
            </w:r>
          </w:p>
        </w:tc>
        <w:tc>
          <w:tcPr>
            <w:tcW w:w="2159" w:type="dxa"/>
          </w:tcPr>
          <w:p w:rsidR="00801E53" w:rsidRDefault="00801E53" w:rsidP="000927CE"/>
        </w:tc>
      </w:tr>
      <w:tr w:rsidR="00801E53">
        <w:trPr>
          <w:cantSplit/>
          <w:trHeight w:val="290"/>
        </w:trPr>
        <w:tc>
          <w:tcPr>
            <w:tcW w:w="5258" w:type="dxa"/>
            <w:gridSpan w:val="3"/>
          </w:tcPr>
          <w:p w:rsidR="00801E53" w:rsidRDefault="00835006" w:rsidP="00835006">
            <w:pPr>
              <w:rPr>
                <w:rFonts w:ascii="Times New Roman" w:hAnsi="Times New Roman" w:cs="Times New Roman"/>
              </w:rPr>
            </w:pPr>
            <w:r>
              <w:t>retell significant rites of earlier civilizations – Mayan, Aztec</w:t>
            </w:r>
          </w:p>
        </w:tc>
        <w:tc>
          <w:tcPr>
            <w:tcW w:w="2159" w:type="dxa"/>
          </w:tcPr>
          <w:p w:rsidR="00801E53" w:rsidRDefault="00801E53" w:rsidP="000927CE"/>
        </w:tc>
        <w:tc>
          <w:tcPr>
            <w:tcW w:w="2159" w:type="dxa"/>
          </w:tcPr>
          <w:p w:rsidR="00801E53" w:rsidRDefault="00801E53" w:rsidP="000927CE"/>
        </w:tc>
      </w:tr>
      <w:tr w:rsidR="00801E53">
        <w:trPr>
          <w:cantSplit/>
          <w:trHeight w:val="290"/>
        </w:trPr>
        <w:tc>
          <w:tcPr>
            <w:tcW w:w="5258" w:type="dxa"/>
            <w:gridSpan w:val="3"/>
          </w:tcPr>
          <w:p w:rsidR="00801E53" w:rsidRDefault="00835006" w:rsidP="000927CE">
            <w:pPr>
              <w:rPr>
                <w:rFonts w:ascii="Times New Roman" w:hAnsi="Times New Roman" w:cs="Times New Roman"/>
              </w:rPr>
            </w:pPr>
            <w:r>
              <w:rPr>
                <w:rFonts w:ascii="Times New Roman" w:hAnsi="Times New Roman" w:cs="Times New Roman"/>
              </w:rPr>
              <w:t>debate the merits of hazing</w:t>
            </w:r>
          </w:p>
        </w:tc>
        <w:tc>
          <w:tcPr>
            <w:tcW w:w="2159" w:type="dxa"/>
          </w:tcPr>
          <w:p w:rsidR="00801E53" w:rsidRDefault="00801E53" w:rsidP="000927CE"/>
        </w:tc>
        <w:tc>
          <w:tcPr>
            <w:tcW w:w="2159" w:type="dxa"/>
          </w:tcPr>
          <w:p w:rsidR="00801E53" w:rsidRDefault="00801E53" w:rsidP="000927CE"/>
        </w:tc>
      </w:tr>
      <w:tr w:rsidR="00801E53">
        <w:trPr>
          <w:cantSplit/>
          <w:trHeight w:val="290"/>
        </w:trPr>
        <w:tc>
          <w:tcPr>
            <w:tcW w:w="5258" w:type="dxa"/>
            <w:gridSpan w:val="3"/>
          </w:tcPr>
          <w:p w:rsidR="00801E53" w:rsidRDefault="00835006" w:rsidP="000927CE">
            <w:r>
              <w:t xml:space="preserve">explain their plan for the transition from high school student to independent adult  </w:t>
            </w:r>
          </w:p>
        </w:tc>
        <w:tc>
          <w:tcPr>
            <w:tcW w:w="2159" w:type="dxa"/>
          </w:tcPr>
          <w:p w:rsidR="00835006" w:rsidRDefault="00835006" w:rsidP="000927CE">
            <w:r>
              <w:t>levels of schooling</w:t>
            </w:r>
          </w:p>
          <w:p w:rsidR="00835006" w:rsidRDefault="00835006" w:rsidP="000927CE">
            <w:r>
              <w:t>careers</w:t>
            </w:r>
          </w:p>
          <w:p w:rsidR="00801E53" w:rsidRDefault="00801E53" w:rsidP="000927CE"/>
        </w:tc>
        <w:tc>
          <w:tcPr>
            <w:tcW w:w="2159" w:type="dxa"/>
          </w:tcPr>
          <w:p w:rsidR="00801E53" w:rsidRDefault="000745C7" w:rsidP="000927CE">
            <w:r>
              <w:t xml:space="preserve">future with </w:t>
            </w:r>
            <w:proofErr w:type="spellStart"/>
            <w:r>
              <w:t>si</w:t>
            </w:r>
            <w:proofErr w:type="spellEnd"/>
          </w:p>
        </w:tc>
      </w:tr>
      <w:tr w:rsidR="000C44F3">
        <w:trPr>
          <w:trHeight w:val="290"/>
        </w:trPr>
        <w:tc>
          <w:tcPr>
            <w:tcW w:w="5258" w:type="dxa"/>
            <w:gridSpan w:val="3"/>
          </w:tcPr>
          <w:p w:rsidR="000C44F3" w:rsidRDefault="000C44F3" w:rsidP="000C44F3">
            <w:r>
              <w:t xml:space="preserve">answer the college application question </w:t>
            </w:r>
          </w:p>
          <w:p w:rsidR="000C44F3" w:rsidRDefault="000C44F3" w:rsidP="000C44F3">
            <w:r>
              <w:t xml:space="preserve">(great source for questions and ideas for unit) </w:t>
            </w:r>
            <w:hyperlink r:id="rId6" w:history="1">
              <w:r w:rsidRPr="007A05AA">
                <w:rPr>
                  <w:rStyle w:val="Hyperlink"/>
                </w:rPr>
                <w:t>http://hpregional.org/departments</w:t>
              </w:r>
            </w:hyperlink>
          </w:p>
          <w:p w:rsidR="000C44F3" w:rsidRPr="000C44F3" w:rsidRDefault="000C44F3" w:rsidP="000C44F3">
            <w:r w:rsidRPr="000C44F3">
              <w:t>/english/mhassenplug/100%20topics.html</w:t>
            </w:r>
          </w:p>
        </w:tc>
        <w:tc>
          <w:tcPr>
            <w:tcW w:w="2159" w:type="dxa"/>
            <w:vAlign w:val="center"/>
          </w:tcPr>
          <w:p w:rsidR="000C44F3" w:rsidRPr="003A2700" w:rsidRDefault="000C44F3" w:rsidP="00F20B4A"/>
        </w:tc>
        <w:tc>
          <w:tcPr>
            <w:tcW w:w="2159" w:type="dxa"/>
            <w:vAlign w:val="center"/>
          </w:tcPr>
          <w:p w:rsidR="000C44F3" w:rsidRPr="003A2700" w:rsidRDefault="000C44F3" w:rsidP="00F20B4A"/>
        </w:tc>
      </w:tr>
      <w:tr w:rsidR="000C44F3">
        <w:trPr>
          <w:trHeight w:val="290"/>
        </w:trPr>
        <w:tc>
          <w:tcPr>
            <w:tcW w:w="5258" w:type="dxa"/>
            <w:gridSpan w:val="3"/>
          </w:tcPr>
          <w:p w:rsidR="000745C7" w:rsidRDefault="000745C7" w:rsidP="000745C7">
            <w:pPr>
              <w:rPr>
                <w:rFonts w:ascii="Times New Roman" w:hAnsi="Times New Roman" w:cs="Times New Roman"/>
              </w:rPr>
            </w:pPr>
            <w:r>
              <w:rPr>
                <w:rFonts w:ascii="Times New Roman" w:hAnsi="Times New Roman" w:cs="Times New Roman"/>
              </w:rPr>
              <w:t>Compare and contrast schooling in the US to a different country.</w:t>
            </w:r>
          </w:p>
          <w:p w:rsidR="000745C7" w:rsidRDefault="000745C7" w:rsidP="000745C7">
            <w:pPr>
              <w:rPr>
                <w:rFonts w:ascii="Times New Roman" w:hAnsi="Times New Roman" w:cs="Times New Roman"/>
              </w:rPr>
            </w:pPr>
          </w:p>
          <w:p w:rsidR="000745C7" w:rsidRDefault="000745C7" w:rsidP="000745C7">
            <w:pPr>
              <w:rPr>
                <w:rFonts w:ascii="Times New Roman" w:hAnsi="Times New Roman" w:cs="Times New Roman"/>
              </w:rPr>
            </w:pPr>
            <w:r w:rsidRPr="000745C7">
              <w:rPr>
                <w:rFonts w:ascii="Times New Roman" w:hAnsi="Times New Roman" w:cs="Times New Roman"/>
                <w:highlight w:val="yellow"/>
              </w:rPr>
              <w:t>I’m not sure how this fits this unit.</w:t>
            </w:r>
            <w:r>
              <w:rPr>
                <w:rFonts w:ascii="Times New Roman" w:hAnsi="Times New Roman" w:cs="Times New Roman"/>
              </w:rPr>
              <w:t xml:space="preserve"> </w:t>
            </w:r>
          </w:p>
          <w:p w:rsidR="000745C7" w:rsidRDefault="000745C7" w:rsidP="000745C7">
            <w:pPr>
              <w:rPr>
                <w:rFonts w:ascii="Times New Roman" w:hAnsi="Times New Roman" w:cs="Times New Roman"/>
              </w:rPr>
            </w:pPr>
          </w:p>
          <w:p w:rsidR="000C44F3" w:rsidRDefault="000C44F3" w:rsidP="000927CE"/>
        </w:tc>
        <w:tc>
          <w:tcPr>
            <w:tcW w:w="2159" w:type="dxa"/>
          </w:tcPr>
          <w:p w:rsidR="000C44F3" w:rsidRDefault="000C44F3"/>
        </w:tc>
        <w:tc>
          <w:tcPr>
            <w:tcW w:w="2159" w:type="dxa"/>
          </w:tcPr>
          <w:p w:rsidR="000C44F3" w:rsidRDefault="000C44F3"/>
        </w:tc>
      </w:tr>
      <w:tr w:rsidR="000C44F3">
        <w:trPr>
          <w:trHeight w:val="290"/>
        </w:trPr>
        <w:tc>
          <w:tcPr>
            <w:tcW w:w="5258" w:type="dxa"/>
            <w:gridSpan w:val="3"/>
          </w:tcPr>
          <w:p w:rsidR="000C44F3" w:rsidRPr="003A2700" w:rsidRDefault="000C44F3" w:rsidP="000927CE"/>
        </w:tc>
        <w:tc>
          <w:tcPr>
            <w:tcW w:w="2159" w:type="dxa"/>
          </w:tcPr>
          <w:p w:rsidR="000C44F3" w:rsidRPr="003A2700" w:rsidRDefault="000C44F3"/>
        </w:tc>
        <w:tc>
          <w:tcPr>
            <w:tcW w:w="2159" w:type="dxa"/>
          </w:tcPr>
          <w:p w:rsidR="000C44F3" w:rsidRPr="003A2700" w:rsidRDefault="000C44F3"/>
        </w:tc>
      </w:tr>
      <w:tr w:rsidR="00E35974">
        <w:trPr>
          <w:trHeight w:val="512"/>
        </w:trPr>
        <w:tc>
          <w:tcPr>
            <w:tcW w:w="9576" w:type="dxa"/>
            <w:gridSpan w:val="5"/>
            <w:shd w:val="clear" w:color="auto" w:fill="FFFF00"/>
            <w:vAlign w:val="center"/>
          </w:tcPr>
          <w:p w:rsidR="00E35974" w:rsidRPr="008953DF" w:rsidRDefault="00E35974" w:rsidP="001C4C00">
            <w:pPr>
              <w:jc w:val="center"/>
              <w:rPr>
                <w:b/>
              </w:rPr>
            </w:pPr>
            <w:r w:rsidRPr="001C4C00">
              <w:rPr>
                <w:b/>
              </w:rPr>
              <w:t xml:space="preserve"> Assessment Evidence</w:t>
            </w:r>
          </w:p>
        </w:tc>
      </w:tr>
      <w:tr w:rsidR="00F20B4A">
        <w:trPr>
          <w:trHeight w:val="290"/>
        </w:trPr>
        <w:tc>
          <w:tcPr>
            <w:tcW w:w="9576" w:type="dxa"/>
            <w:gridSpan w:val="5"/>
            <w:shd w:val="clear" w:color="auto" w:fill="D9D9D9" w:themeFill="background1" w:themeFillShade="D9"/>
          </w:tcPr>
          <w:p w:rsidR="00F20B4A" w:rsidRPr="001C4C00" w:rsidRDefault="00F20B4A" w:rsidP="001C4C00">
            <w:pPr>
              <w:jc w:val="center"/>
              <w:rPr>
                <w:b/>
              </w:rPr>
            </w:pPr>
            <w:r w:rsidRPr="001C4C00">
              <w:rPr>
                <w:b/>
              </w:rPr>
              <w:t>Performance Task Summary</w:t>
            </w:r>
          </w:p>
          <w:p w:rsidR="00F20B4A" w:rsidRPr="001C4C00" w:rsidRDefault="00F20B4A" w:rsidP="001C4C00">
            <w:pPr>
              <w:jc w:val="center"/>
              <w:rPr>
                <w:b/>
              </w:rPr>
            </w:pPr>
            <w:r w:rsidRPr="001C4C00">
              <w:rPr>
                <w:b/>
              </w:rPr>
              <w:t>(Integrated Performance Assessment)</w:t>
            </w:r>
          </w:p>
        </w:tc>
      </w:tr>
      <w:tr w:rsidR="00F20B4A">
        <w:trPr>
          <w:cantSplit/>
          <w:trHeight w:val="290"/>
        </w:trPr>
        <w:tc>
          <w:tcPr>
            <w:tcW w:w="2720" w:type="dxa"/>
            <w:shd w:val="clear" w:color="auto" w:fill="D9D9D9" w:themeFill="background1" w:themeFillShade="D9"/>
            <w:vAlign w:val="center"/>
          </w:tcPr>
          <w:p w:rsidR="00F20B4A" w:rsidRDefault="00F20B4A" w:rsidP="000464A9">
            <w:r>
              <w:t>Interpretive</w:t>
            </w:r>
          </w:p>
        </w:tc>
        <w:tc>
          <w:tcPr>
            <w:tcW w:w="6856" w:type="dxa"/>
            <w:gridSpan w:val="4"/>
            <w:shd w:val="clear" w:color="auto" w:fill="auto"/>
          </w:tcPr>
          <w:p w:rsidR="00217209" w:rsidRDefault="00FA126D" w:rsidP="005F73AC">
            <w:r>
              <w:t>Reading (Rites of passage)</w:t>
            </w:r>
          </w:p>
          <w:p w:rsidR="00217209" w:rsidRDefault="00217209" w:rsidP="005F73AC"/>
          <w:p w:rsidR="00F20B4A" w:rsidRDefault="00217209" w:rsidP="005F73AC">
            <w:r>
              <w:t xml:space="preserve">Students will read biographical excerpts and will identify the key elements of transition in individual’s lives. They will </w:t>
            </w:r>
          </w:p>
        </w:tc>
      </w:tr>
      <w:tr w:rsidR="00F20B4A">
        <w:trPr>
          <w:cantSplit/>
          <w:trHeight w:val="290"/>
        </w:trPr>
        <w:tc>
          <w:tcPr>
            <w:tcW w:w="2720" w:type="dxa"/>
            <w:shd w:val="clear" w:color="auto" w:fill="D9D9D9" w:themeFill="background1" w:themeFillShade="D9"/>
            <w:vAlign w:val="center"/>
          </w:tcPr>
          <w:p w:rsidR="00F20B4A" w:rsidRDefault="00F20B4A" w:rsidP="000464A9">
            <w:r>
              <w:t>Interpersonal</w:t>
            </w:r>
          </w:p>
        </w:tc>
        <w:tc>
          <w:tcPr>
            <w:tcW w:w="6856" w:type="dxa"/>
            <w:gridSpan w:val="4"/>
            <w:shd w:val="clear" w:color="auto" w:fill="auto"/>
          </w:tcPr>
          <w:p w:rsidR="00217209" w:rsidRDefault="00845497" w:rsidP="00845497">
            <w:r>
              <w:t>Role play 2 characters from one of the stories (use a quote from the story as a starter)</w:t>
            </w:r>
          </w:p>
          <w:p w:rsidR="00217209" w:rsidRDefault="00217209" w:rsidP="00845497"/>
          <w:p w:rsidR="00F20B4A" w:rsidRDefault="00217209" w:rsidP="00845497">
            <w:r>
              <w:t xml:space="preserve">If you want to focus on non-fiction, pull significant event stories and have them role play the people who are involved discussing what happened, how they are coping and what the future might hold. (Joplin tornado, earthquake in Japan, Chilean miners, presidential candidate who loses, etc.  – significant stories that appear in the news as you teach the unit or those that are well known. </w:t>
            </w:r>
          </w:p>
        </w:tc>
      </w:tr>
      <w:tr w:rsidR="00F20B4A">
        <w:trPr>
          <w:cantSplit/>
          <w:trHeight w:val="290"/>
        </w:trPr>
        <w:tc>
          <w:tcPr>
            <w:tcW w:w="2720" w:type="dxa"/>
            <w:shd w:val="clear" w:color="auto" w:fill="D9D9D9" w:themeFill="background1" w:themeFillShade="D9"/>
            <w:vAlign w:val="center"/>
          </w:tcPr>
          <w:p w:rsidR="00F20B4A" w:rsidRDefault="00F20B4A" w:rsidP="000464A9">
            <w:r>
              <w:t>Presentational</w:t>
            </w:r>
          </w:p>
        </w:tc>
        <w:tc>
          <w:tcPr>
            <w:tcW w:w="6856" w:type="dxa"/>
            <w:gridSpan w:val="4"/>
            <w:shd w:val="clear" w:color="auto" w:fill="auto"/>
          </w:tcPr>
          <w:p w:rsidR="00F20B4A" w:rsidRDefault="00217209" w:rsidP="005F73AC">
            <w:r>
              <w:t xml:space="preserve">Students will create a story using a multimedia format that outlines in detail a major transition in their life. </w:t>
            </w:r>
          </w:p>
        </w:tc>
      </w:tr>
      <w:tr w:rsidR="00E35974">
        <w:trPr>
          <w:trHeight w:val="432"/>
        </w:trPr>
        <w:tc>
          <w:tcPr>
            <w:tcW w:w="5258" w:type="dxa"/>
            <w:gridSpan w:val="3"/>
            <w:shd w:val="clear" w:color="auto" w:fill="D9D9D9" w:themeFill="background1" w:themeFillShade="D9"/>
            <w:vAlign w:val="center"/>
          </w:tcPr>
          <w:p w:rsidR="00E35974" w:rsidRPr="00BE012C" w:rsidRDefault="00E35974" w:rsidP="00BE012C">
            <w:pPr>
              <w:jc w:val="center"/>
              <w:rPr>
                <w:b/>
              </w:rPr>
            </w:pPr>
            <w:r>
              <w:rPr>
                <w:b/>
              </w:rPr>
              <w:t>Formative Assessments</w:t>
            </w:r>
          </w:p>
        </w:tc>
        <w:tc>
          <w:tcPr>
            <w:tcW w:w="4318" w:type="dxa"/>
            <w:gridSpan w:val="2"/>
            <w:shd w:val="clear" w:color="auto" w:fill="D9D9D9" w:themeFill="background1" w:themeFillShade="D9"/>
            <w:vAlign w:val="center"/>
          </w:tcPr>
          <w:p w:rsidR="00E35974" w:rsidRPr="00BE012C" w:rsidRDefault="00E35974" w:rsidP="00BE012C">
            <w:pPr>
              <w:jc w:val="center"/>
              <w:rPr>
                <w:b/>
              </w:rPr>
            </w:pPr>
            <w:r>
              <w:rPr>
                <w:b/>
              </w:rPr>
              <w:t>Other Summative Assessments</w:t>
            </w:r>
          </w:p>
        </w:tc>
      </w:tr>
      <w:tr w:rsidR="00E35974">
        <w:trPr>
          <w:trHeight w:val="290"/>
        </w:trPr>
        <w:tc>
          <w:tcPr>
            <w:tcW w:w="5258" w:type="dxa"/>
            <w:gridSpan w:val="3"/>
            <w:shd w:val="clear" w:color="auto" w:fill="auto"/>
          </w:tcPr>
          <w:p w:rsidR="00217209" w:rsidRDefault="00217209" w:rsidP="00217209">
            <w:r>
              <w:t>Retelling using story board (</w:t>
            </w:r>
            <w:proofErr w:type="spellStart"/>
            <w:r>
              <w:t>Mañana</w:t>
            </w:r>
            <w:proofErr w:type="spellEnd"/>
            <w:r>
              <w:t xml:space="preserve"> de Sol)</w:t>
            </w:r>
          </w:p>
          <w:p w:rsidR="00E35974" w:rsidRPr="00BE012C" w:rsidRDefault="00E35974" w:rsidP="005F73AC"/>
          <w:p w:rsidR="00E35974" w:rsidRPr="00BE012C" w:rsidRDefault="00E35974" w:rsidP="00BE012C">
            <w:pPr>
              <w:jc w:val="center"/>
            </w:pPr>
          </w:p>
          <w:p w:rsidR="00E35974" w:rsidRPr="00BE012C" w:rsidRDefault="00E35974" w:rsidP="00BE012C">
            <w:pPr>
              <w:jc w:val="center"/>
            </w:pPr>
          </w:p>
        </w:tc>
        <w:tc>
          <w:tcPr>
            <w:tcW w:w="4318" w:type="dxa"/>
            <w:gridSpan w:val="2"/>
            <w:shd w:val="clear" w:color="auto" w:fill="auto"/>
          </w:tcPr>
          <w:p w:rsidR="00E35974" w:rsidRDefault="00FA126D" w:rsidP="005847C9">
            <w:pPr>
              <w:pStyle w:val="ListParagraph"/>
              <w:ind w:left="360"/>
            </w:pPr>
            <w:r>
              <w:t>Final Exam-Story continuation, Reading</w:t>
            </w:r>
            <w:r w:rsidR="00C96A40">
              <w:t xml:space="preserve"> (love story)</w:t>
            </w:r>
          </w:p>
          <w:p w:rsidR="00FA126D" w:rsidRPr="00BE012C" w:rsidRDefault="00FA126D" w:rsidP="005847C9">
            <w:pPr>
              <w:pStyle w:val="ListParagraph"/>
              <w:ind w:left="360"/>
            </w:pPr>
          </w:p>
          <w:p w:rsidR="00E35974" w:rsidRPr="00BE012C" w:rsidRDefault="00E35974" w:rsidP="00BE012C"/>
        </w:tc>
      </w:tr>
      <w:tr w:rsidR="00E35974">
        <w:trPr>
          <w:trHeight w:val="432"/>
        </w:trPr>
        <w:tc>
          <w:tcPr>
            <w:tcW w:w="9576" w:type="dxa"/>
            <w:gridSpan w:val="5"/>
            <w:shd w:val="solid" w:color="FFFF00" w:fill="FF0000"/>
            <w:vAlign w:val="center"/>
          </w:tcPr>
          <w:p w:rsidR="00E35974" w:rsidRPr="00AF6698" w:rsidRDefault="00E35974" w:rsidP="00AF6698">
            <w:pPr>
              <w:jc w:val="center"/>
            </w:pPr>
            <w:r w:rsidRPr="00BE012C">
              <w:t>Learning Activities</w:t>
            </w:r>
          </w:p>
        </w:tc>
      </w:tr>
      <w:tr w:rsidR="00E35974">
        <w:trPr>
          <w:trHeight w:val="432"/>
        </w:trPr>
        <w:tc>
          <w:tcPr>
            <w:tcW w:w="9576" w:type="dxa"/>
            <w:gridSpan w:val="5"/>
            <w:shd w:val="clear" w:color="auto" w:fill="auto"/>
            <w:vAlign w:val="center"/>
          </w:tcPr>
          <w:p w:rsidR="00E35974" w:rsidRPr="003A2700" w:rsidRDefault="00E35974" w:rsidP="00AF6698"/>
          <w:p w:rsidR="00E35974" w:rsidRPr="003A2700" w:rsidRDefault="00E35974" w:rsidP="00AF6698">
            <w:pPr>
              <w:rPr>
                <w:rFonts w:cs="Verdana"/>
                <w:szCs w:val="22"/>
                <w:lang w:bidi="en-US"/>
              </w:rPr>
            </w:pPr>
          </w:p>
          <w:p w:rsidR="00E35974" w:rsidRPr="00BE012C" w:rsidRDefault="00E35974" w:rsidP="00AF6698">
            <w:pPr>
              <w:jc w:val="center"/>
            </w:pPr>
          </w:p>
        </w:tc>
      </w:tr>
      <w:tr w:rsidR="006962FC">
        <w:trPr>
          <w:trHeight w:val="432"/>
        </w:trPr>
        <w:tc>
          <w:tcPr>
            <w:tcW w:w="9576" w:type="dxa"/>
            <w:gridSpan w:val="5"/>
            <w:shd w:val="solid" w:color="FFFF00" w:fill="auto"/>
            <w:vAlign w:val="center"/>
          </w:tcPr>
          <w:p w:rsidR="006962FC" w:rsidRPr="003A2700" w:rsidRDefault="006962FC" w:rsidP="006962FC">
            <w:pPr>
              <w:jc w:val="center"/>
            </w:pPr>
            <w:r w:rsidRPr="006962FC">
              <w:t>Resources</w:t>
            </w:r>
          </w:p>
        </w:tc>
      </w:tr>
      <w:tr w:rsidR="006962FC" w:rsidRPr="00DB3000">
        <w:trPr>
          <w:trHeight w:val="432"/>
        </w:trPr>
        <w:tc>
          <w:tcPr>
            <w:tcW w:w="9576" w:type="dxa"/>
            <w:gridSpan w:val="5"/>
            <w:shd w:val="clear" w:color="auto" w:fill="auto"/>
            <w:vAlign w:val="center"/>
          </w:tcPr>
          <w:p w:rsidR="00781686" w:rsidRPr="00781686" w:rsidRDefault="00781686" w:rsidP="00781686">
            <w:pPr>
              <w:rPr>
                <w:rFonts w:ascii="Times New Roman" w:hAnsi="Times New Roman" w:cs="Times New Roman"/>
                <w:lang w:val="es-ES"/>
              </w:rPr>
            </w:pPr>
            <w:r w:rsidRPr="00781686">
              <w:rPr>
                <w:rFonts w:ascii="Times New Roman" w:hAnsi="Times New Roman" w:cs="Times New Roman"/>
                <w:lang w:val="es-ES"/>
              </w:rPr>
              <w:t>Cajas de cart</w:t>
            </w:r>
            <w:r>
              <w:rPr>
                <w:rFonts w:ascii="Times New Roman" w:hAnsi="Times New Roman" w:cs="Times New Roman"/>
                <w:lang w:val="es-ES"/>
              </w:rPr>
              <w:t>ón</w:t>
            </w:r>
          </w:p>
          <w:p w:rsidR="00781686" w:rsidRPr="00E73138" w:rsidRDefault="00781686" w:rsidP="00781686">
            <w:pPr>
              <w:rPr>
                <w:rFonts w:ascii="Times New Roman" w:hAnsi="Times New Roman" w:cs="Times New Roman"/>
                <w:lang w:val="es-ES"/>
              </w:rPr>
            </w:pPr>
            <w:r w:rsidRPr="00E73138">
              <w:rPr>
                <w:rFonts w:ascii="Times New Roman" w:hAnsi="Times New Roman" w:cs="Times New Roman"/>
                <w:lang w:val="es-ES"/>
              </w:rPr>
              <w:t>Salvavidas</w:t>
            </w:r>
          </w:p>
          <w:p w:rsidR="00781686" w:rsidRPr="00E73138" w:rsidRDefault="00781686" w:rsidP="00781686">
            <w:pPr>
              <w:rPr>
                <w:rFonts w:ascii="Times New Roman" w:hAnsi="Times New Roman" w:cs="Times New Roman"/>
                <w:lang w:val="es-ES"/>
              </w:rPr>
            </w:pPr>
            <w:r w:rsidRPr="00E73138">
              <w:rPr>
                <w:rFonts w:ascii="Times New Roman" w:hAnsi="Times New Roman" w:cs="Times New Roman"/>
                <w:lang w:val="es-ES"/>
              </w:rPr>
              <w:t xml:space="preserve">Lupita </w:t>
            </w:r>
          </w:p>
          <w:p w:rsidR="00781686" w:rsidRPr="00E73138" w:rsidRDefault="00781686" w:rsidP="00781686">
            <w:pPr>
              <w:rPr>
                <w:rFonts w:ascii="Times New Roman" w:hAnsi="Times New Roman" w:cs="Times New Roman"/>
                <w:lang w:val="es-ES"/>
              </w:rPr>
            </w:pPr>
            <w:r w:rsidRPr="00E73138">
              <w:rPr>
                <w:rFonts w:ascii="Times New Roman" w:hAnsi="Times New Roman" w:cs="Times New Roman"/>
                <w:lang w:val="es-ES"/>
              </w:rPr>
              <w:t>Primero de secundaria</w:t>
            </w:r>
          </w:p>
          <w:p w:rsidR="00781686" w:rsidRPr="00E73138" w:rsidRDefault="00781686" w:rsidP="00781686">
            <w:pPr>
              <w:rPr>
                <w:rFonts w:ascii="Times New Roman" w:hAnsi="Times New Roman" w:cs="Times New Roman"/>
                <w:lang w:val="es-ES"/>
              </w:rPr>
            </w:pPr>
            <w:r w:rsidRPr="00E73138">
              <w:rPr>
                <w:rFonts w:ascii="Times New Roman" w:hAnsi="Times New Roman" w:cs="Times New Roman"/>
                <w:lang w:val="es-ES"/>
              </w:rPr>
              <w:t>Manana de sol</w:t>
            </w:r>
          </w:p>
          <w:p w:rsidR="00781686" w:rsidRDefault="00781686" w:rsidP="00781686">
            <w:pPr>
              <w:rPr>
                <w:rFonts w:ascii="Times New Roman" w:hAnsi="Times New Roman" w:cs="Times New Roman"/>
                <w:color w:val="0000FF"/>
                <w:lang w:val="es-ES"/>
              </w:rPr>
            </w:pPr>
            <w:r>
              <w:rPr>
                <w:rFonts w:ascii="Times New Roman" w:hAnsi="Times New Roman" w:cs="Times New Roman"/>
                <w:color w:val="0000FF"/>
                <w:lang w:val="es-ES"/>
              </w:rPr>
              <w:t>Versos Sencillos</w:t>
            </w:r>
            <w:bookmarkStart w:id="0" w:name="_GoBack"/>
            <w:bookmarkEnd w:id="0"/>
          </w:p>
          <w:p w:rsidR="00217209" w:rsidRDefault="00DB3000" w:rsidP="00781686">
            <w:pPr>
              <w:rPr>
                <w:rFonts w:ascii="Times New Roman" w:hAnsi="Times New Roman" w:cs="Times New Roman"/>
                <w:color w:val="0000FF"/>
                <w:lang w:val="es-ES"/>
              </w:rPr>
            </w:pPr>
            <w:r>
              <w:rPr>
                <w:rFonts w:ascii="Times New Roman" w:hAnsi="Times New Roman" w:cs="Times New Roman"/>
                <w:color w:val="0000FF"/>
                <w:lang w:val="es-ES"/>
              </w:rPr>
              <w:t>La señorita Julia (TX p.51) Avancemos IV</w:t>
            </w:r>
          </w:p>
          <w:p w:rsidR="00217209" w:rsidRDefault="00217209" w:rsidP="00781686">
            <w:pPr>
              <w:rPr>
                <w:rFonts w:ascii="Times New Roman" w:hAnsi="Times New Roman" w:cs="Times New Roman"/>
                <w:color w:val="0000FF"/>
                <w:lang w:val="es-ES"/>
              </w:rPr>
            </w:pPr>
          </w:p>
          <w:p w:rsidR="00DB3000" w:rsidRPr="00217209" w:rsidRDefault="00217209" w:rsidP="00781686">
            <w:pPr>
              <w:rPr>
                <w:rFonts w:ascii="Times New Roman" w:hAnsi="Times New Roman" w:cs="Times New Roman"/>
                <w:color w:val="0000FF"/>
                <w:lang w:val="es-ES"/>
              </w:rPr>
            </w:pPr>
            <w:r w:rsidRPr="00217209">
              <w:rPr>
                <w:rFonts w:ascii="Times New Roman" w:hAnsi="Times New Roman" w:cs="Times New Roman"/>
                <w:color w:val="0000FF"/>
                <w:lang w:val="es-ES"/>
              </w:rPr>
              <w:t>http://es.paperblog.com/ritos-de-paso-para-adolescentes-aparentemente-bordes-la-ultima-cancion-197237/</w:t>
            </w:r>
          </w:p>
          <w:p w:rsidR="006962FC" w:rsidRPr="00DB3000" w:rsidRDefault="006962FC" w:rsidP="00AF6698">
            <w:pPr>
              <w:rPr>
                <w:lang w:val="es-ES"/>
              </w:rPr>
            </w:pPr>
          </w:p>
          <w:p w:rsidR="006962FC" w:rsidRPr="00DB3000" w:rsidRDefault="006962FC" w:rsidP="00AF6698">
            <w:pPr>
              <w:rPr>
                <w:lang w:val="es-ES"/>
              </w:rPr>
            </w:pPr>
          </w:p>
          <w:p w:rsidR="006962FC" w:rsidRPr="00DB3000" w:rsidRDefault="006962FC" w:rsidP="00AF6698">
            <w:pPr>
              <w:rPr>
                <w:lang w:val="es-ES"/>
              </w:rPr>
            </w:pPr>
          </w:p>
        </w:tc>
      </w:tr>
    </w:tbl>
    <w:p w:rsidR="000B7F32" w:rsidRPr="00DB3000" w:rsidRDefault="000B7F32" w:rsidP="004D4008">
      <w:pPr>
        <w:rPr>
          <w:lang w:val="es-ES"/>
        </w:rPr>
      </w:pPr>
    </w:p>
    <w:tbl>
      <w:tblPr>
        <w:tblStyle w:val="TableGrid"/>
        <w:tblW w:w="0" w:type="auto"/>
        <w:tblLook w:val="04A0"/>
      </w:tblPr>
      <w:tblGrid>
        <w:gridCol w:w="2952"/>
        <w:gridCol w:w="2952"/>
        <w:gridCol w:w="2952"/>
      </w:tblGrid>
      <w:tr w:rsidR="00E737A5">
        <w:tc>
          <w:tcPr>
            <w:tcW w:w="2952" w:type="dxa"/>
          </w:tcPr>
          <w:p w:rsidR="00E737A5" w:rsidRDefault="00E737A5" w:rsidP="004D4008">
            <w:proofErr w:type="spellStart"/>
            <w:r>
              <w:t>Español</w:t>
            </w:r>
            <w:proofErr w:type="spellEnd"/>
          </w:p>
        </w:tc>
        <w:tc>
          <w:tcPr>
            <w:tcW w:w="2952" w:type="dxa"/>
          </w:tcPr>
          <w:p w:rsidR="00E737A5" w:rsidRDefault="00E737A5" w:rsidP="004D4008"/>
        </w:tc>
        <w:tc>
          <w:tcPr>
            <w:tcW w:w="2952" w:type="dxa"/>
          </w:tcPr>
          <w:p w:rsidR="00E737A5" w:rsidRDefault="00E737A5" w:rsidP="004D4008"/>
        </w:tc>
      </w:tr>
      <w:tr w:rsidR="00E737A5" w:rsidRPr="00FA126D">
        <w:tc>
          <w:tcPr>
            <w:tcW w:w="2952" w:type="dxa"/>
          </w:tcPr>
          <w:p w:rsidR="00DB3000" w:rsidRDefault="00DB3000" w:rsidP="004D4008">
            <w:pPr>
              <w:rPr>
                <w:lang w:val="es-ES"/>
              </w:rPr>
            </w:pPr>
          </w:p>
          <w:p w:rsidR="00DB3000" w:rsidRDefault="00DB3000" w:rsidP="004D4008">
            <w:pPr>
              <w:rPr>
                <w:lang w:val="es-ES"/>
              </w:rPr>
            </w:pPr>
          </w:p>
          <w:p w:rsidR="00DB3000" w:rsidRDefault="00DB3000" w:rsidP="004D4008">
            <w:pPr>
              <w:rPr>
                <w:lang w:val="es-ES"/>
              </w:rPr>
            </w:pPr>
          </w:p>
          <w:p w:rsidR="00DB3000" w:rsidRDefault="00DB3000" w:rsidP="004D4008">
            <w:pPr>
              <w:rPr>
                <w:lang w:val="es-ES"/>
              </w:rPr>
            </w:pPr>
          </w:p>
          <w:p w:rsidR="00DB3000" w:rsidRDefault="00DB3000" w:rsidP="004D4008">
            <w:pPr>
              <w:rPr>
                <w:lang w:val="es-ES"/>
              </w:rPr>
            </w:pPr>
          </w:p>
          <w:p w:rsidR="00DB3000" w:rsidRDefault="00DB3000" w:rsidP="004D4008">
            <w:pPr>
              <w:rPr>
                <w:lang w:val="es-ES"/>
              </w:rPr>
            </w:pPr>
          </w:p>
          <w:p w:rsidR="00E737A5" w:rsidRPr="00E737A5" w:rsidRDefault="00E737A5" w:rsidP="004D4008">
            <w:pPr>
              <w:rPr>
                <w:lang w:val="es-ES"/>
              </w:rPr>
            </w:pPr>
            <w:r w:rsidRPr="00E737A5">
              <w:rPr>
                <w:lang w:val="es-ES"/>
              </w:rPr>
              <w:t>Los antecedents académicos</w:t>
            </w:r>
          </w:p>
          <w:p w:rsidR="00E737A5" w:rsidRPr="00E737A5" w:rsidRDefault="00E737A5" w:rsidP="004D4008">
            <w:pPr>
              <w:rPr>
                <w:lang w:val="es-ES"/>
              </w:rPr>
            </w:pPr>
            <w:r w:rsidRPr="00E737A5">
              <w:rPr>
                <w:lang w:val="es-ES"/>
              </w:rPr>
              <w:t>El ascenso</w:t>
            </w:r>
          </w:p>
          <w:p w:rsidR="00E737A5" w:rsidRDefault="00E737A5" w:rsidP="004D4008">
            <w:pPr>
              <w:rPr>
                <w:lang w:val="es-ES"/>
              </w:rPr>
            </w:pPr>
            <w:r w:rsidRPr="00E737A5">
              <w:rPr>
                <w:lang w:val="es-ES"/>
              </w:rPr>
              <w:t>Los conocimientos de inform</w:t>
            </w:r>
            <w:r>
              <w:rPr>
                <w:lang w:val="es-ES"/>
              </w:rPr>
              <w:t>ática</w:t>
            </w:r>
          </w:p>
          <w:p w:rsidR="00E737A5" w:rsidRDefault="00E737A5" w:rsidP="004D4008">
            <w:pPr>
              <w:rPr>
                <w:lang w:val="es-ES"/>
              </w:rPr>
            </w:pPr>
            <w:r>
              <w:rPr>
                <w:lang w:val="es-ES"/>
              </w:rPr>
              <w:t>El diploma</w:t>
            </w:r>
          </w:p>
          <w:p w:rsidR="00E737A5" w:rsidRDefault="00E737A5" w:rsidP="004D4008">
            <w:pPr>
              <w:rPr>
                <w:lang w:val="es-ES"/>
              </w:rPr>
            </w:pPr>
            <w:r>
              <w:rPr>
                <w:lang w:val="es-ES"/>
              </w:rPr>
              <w:t>El jefe</w:t>
            </w:r>
          </w:p>
          <w:p w:rsidR="00E737A5" w:rsidRDefault="00E737A5" w:rsidP="004D4008">
            <w:pPr>
              <w:rPr>
                <w:lang w:val="es-ES"/>
              </w:rPr>
            </w:pPr>
            <w:r>
              <w:rPr>
                <w:lang w:val="es-ES"/>
              </w:rPr>
              <w:t>Los negocios</w:t>
            </w:r>
          </w:p>
          <w:p w:rsidR="00E737A5" w:rsidRDefault="00E737A5" w:rsidP="004D4008">
            <w:pPr>
              <w:rPr>
                <w:lang w:val="es-ES"/>
              </w:rPr>
            </w:pPr>
            <w:r>
              <w:rPr>
                <w:lang w:val="es-ES"/>
              </w:rPr>
              <w:t>La planilla</w:t>
            </w:r>
          </w:p>
          <w:p w:rsidR="00E737A5" w:rsidRDefault="00E737A5" w:rsidP="004D4008">
            <w:pPr>
              <w:rPr>
                <w:lang w:val="es-ES"/>
              </w:rPr>
            </w:pPr>
            <w:r>
              <w:rPr>
                <w:lang w:val="es-ES"/>
              </w:rPr>
              <w:t>El puesto</w:t>
            </w:r>
          </w:p>
          <w:p w:rsidR="00E737A5" w:rsidRDefault="00E737A5" w:rsidP="004D4008">
            <w:pPr>
              <w:rPr>
                <w:lang w:val="es-ES"/>
              </w:rPr>
            </w:pPr>
            <w:r>
              <w:rPr>
                <w:lang w:val="es-ES"/>
              </w:rPr>
              <w:t>La referencia</w:t>
            </w:r>
          </w:p>
          <w:p w:rsidR="00E737A5" w:rsidRDefault="00E737A5" w:rsidP="004D4008">
            <w:pPr>
              <w:rPr>
                <w:lang w:val="es-ES"/>
              </w:rPr>
            </w:pPr>
            <w:r>
              <w:rPr>
                <w:lang w:val="es-ES"/>
              </w:rPr>
              <w:t>El título</w:t>
            </w:r>
          </w:p>
          <w:p w:rsidR="00E737A5" w:rsidRDefault="00E737A5" w:rsidP="004D4008">
            <w:pPr>
              <w:rPr>
                <w:lang w:val="es-ES"/>
              </w:rPr>
            </w:pPr>
          </w:p>
          <w:p w:rsidR="00E737A5" w:rsidRDefault="00E737A5" w:rsidP="004D4008">
            <w:pPr>
              <w:rPr>
                <w:lang w:val="es-ES"/>
              </w:rPr>
            </w:pPr>
            <w:r>
              <w:rPr>
                <w:lang w:val="es-ES"/>
              </w:rPr>
              <w:t>TRABJOS (avancemos 4 p.26)</w:t>
            </w:r>
          </w:p>
          <w:p w:rsidR="00E737A5" w:rsidRDefault="00E737A5" w:rsidP="004D4008">
            <w:pPr>
              <w:rPr>
                <w:lang w:val="es-ES"/>
              </w:rPr>
            </w:pPr>
          </w:p>
          <w:p w:rsidR="00E737A5" w:rsidRPr="00E737A5" w:rsidRDefault="00E737A5" w:rsidP="004D4008">
            <w:pPr>
              <w:rPr>
                <w:lang w:val="es-ES"/>
              </w:rPr>
            </w:pPr>
          </w:p>
        </w:tc>
        <w:tc>
          <w:tcPr>
            <w:tcW w:w="2952" w:type="dxa"/>
          </w:tcPr>
          <w:p w:rsidR="00E737A5" w:rsidRPr="00E737A5" w:rsidRDefault="00E737A5" w:rsidP="004D4008">
            <w:pPr>
              <w:rPr>
                <w:lang w:val="es-ES"/>
              </w:rPr>
            </w:pPr>
          </w:p>
        </w:tc>
        <w:tc>
          <w:tcPr>
            <w:tcW w:w="2952" w:type="dxa"/>
          </w:tcPr>
          <w:p w:rsidR="00E737A5" w:rsidRPr="00E737A5" w:rsidRDefault="00E737A5" w:rsidP="004D4008">
            <w:pPr>
              <w:rPr>
                <w:lang w:val="es-ES"/>
              </w:rPr>
            </w:pPr>
          </w:p>
        </w:tc>
      </w:tr>
    </w:tbl>
    <w:p w:rsidR="00E737A5" w:rsidRPr="00E737A5" w:rsidRDefault="00E737A5" w:rsidP="004D4008">
      <w:pPr>
        <w:rPr>
          <w:lang w:val="es-ES"/>
        </w:rPr>
      </w:pPr>
    </w:p>
    <w:sectPr w:rsidR="00E737A5" w:rsidRPr="00E737A5" w:rsidSect="00801E53">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0126A"/>
    <w:multiLevelType w:val="hybridMultilevel"/>
    <w:tmpl w:val="52E6CB1E"/>
    <w:lvl w:ilvl="0" w:tplc="5C8A7D7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650F21"/>
    <w:multiLevelType w:val="hybridMultilevel"/>
    <w:tmpl w:val="49BAF6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02C65F7"/>
    <w:multiLevelType w:val="hybridMultilevel"/>
    <w:tmpl w:val="F2F2B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B8448E"/>
    <w:multiLevelType w:val="hybridMultilevel"/>
    <w:tmpl w:val="747E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7C57FF"/>
    <w:multiLevelType w:val="hybridMultilevel"/>
    <w:tmpl w:val="4C641E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972678"/>
    <w:multiLevelType w:val="hybridMultilevel"/>
    <w:tmpl w:val="0CAA1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A95B7D"/>
    <w:multiLevelType w:val="hybridMultilevel"/>
    <w:tmpl w:val="4AF86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31764F"/>
    <w:multiLevelType w:val="hybridMultilevel"/>
    <w:tmpl w:val="245AF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011972"/>
    <w:multiLevelType w:val="hybridMultilevel"/>
    <w:tmpl w:val="D0A02F96"/>
    <w:lvl w:ilvl="0" w:tplc="78EC8D48">
      <w:start w:val="1"/>
      <w:numFmt w:val="bullet"/>
      <w:lvlText w:val=""/>
      <w:lvlJc w:val="left"/>
      <w:pPr>
        <w:tabs>
          <w:tab w:val="num" w:pos="580"/>
        </w:tabs>
        <w:ind w:left="580" w:hanging="360"/>
      </w:pPr>
      <w:rPr>
        <w:rFonts w:ascii="Symbol" w:hAnsi="Symbol" w:hint="default"/>
        <w:w w:val="0"/>
      </w:rPr>
    </w:lvl>
    <w:lvl w:ilvl="1" w:tplc="00030409" w:tentative="1">
      <w:start w:val="1"/>
      <w:numFmt w:val="bullet"/>
      <w:lvlText w:val="o"/>
      <w:lvlJc w:val="left"/>
      <w:pPr>
        <w:tabs>
          <w:tab w:val="num" w:pos="940"/>
        </w:tabs>
        <w:ind w:left="940" w:hanging="360"/>
      </w:pPr>
      <w:rPr>
        <w:rFonts w:ascii="Courier New" w:hAnsi="Courier New" w:hint="default"/>
      </w:rPr>
    </w:lvl>
    <w:lvl w:ilvl="2" w:tplc="00050409" w:tentative="1">
      <w:start w:val="1"/>
      <w:numFmt w:val="bullet"/>
      <w:lvlText w:val=""/>
      <w:lvlJc w:val="left"/>
      <w:pPr>
        <w:tabs>
          <w:tab w:val="num" w:pos="1660"/>
        </w:tabs>
        <w:ind w:left="1660" w:hanging="360"/>
      </w:pPr>
      <w:rPr>
        <w:rFonts w:ascii="Wingdings" w:hAnsi="Wingdings" w:hint="default"/>
      </w:rPr>
    </w:lvl>
    <w:lvl w:ilvl="3" w:tplc="00010409" w:tentative="1">
      <w:start w:val="1"/>
      <w:numFmt w:val="bullet"/>
      <w:lvlText w:val=""/>
      <w:lvlJc w:val="left"/>
      <w:pPr>
        <w:tabs>
          <w:tab w:val="num" w:pos="2380"/>
        </w:tabs>
        <w:ind w:left="2380" w:hanging="360"/>
      </w:pPr>
      <w:rPr>
        <w:rFonts w:ascii="Symbol" w:hAnsi="Symbol" w:hint="default"/>
      </w:rPr>
    </w:lvl>
    <w:lvl w:ilvl="4" w:tplc="00030409" w:tentative="1">
      <w:start w:val="1"/>
      <w:numFmt w:val="bullet"/>
      <w:lvlText w:val="o"/>
      <w:lvlJc w:val="left"/>
      <w:pPr>
        <w:tabs>
          <w:tab w:val="num" w:pos="3100"/>
        </w:tabs>
        <w:ind w:left="3100" w:hanging="360"/>
      </w:pPr>
      <w:rPr>
        <w:rFonts w:ascii="Courier New" w:hAnsi="Courier New" w:hint="default"/>
      </w:rPr>
    </w:lvl>
    <w:lvl w:ilvl="5" w:tplc="00050409" w:tentative="1">
      <w:start w:val="1"/>
      <w:numFmt w:val="bullet"/>
      <w:lvlText w:val=""/>
      <w:lvlJc w:val="left"/>
      <w:pPr>
        <w:tabs>
          <w:tab w:val="num" w:pos="3820"/>
        </w:tabs>
        <w:ind w:left="3820" w:hanging="360"/>
      </w:pPr>
      <w:rPr>
        <w:rFonts w:ascii="Wingdings" w:hAnsi="Wingdings" w:hint="default"/>
      </w:rPr>
    </w:lvl>
    <w:lvl w:ilvl="6" w:tplc="00010409" w:tentative="1">
      <w:start w:val="1"/>
      <w:numFmt w:val="bullet"/>
      <w:lvlText w:val=""/>
      <w:lvlJc w:val="left"/>
      <w:pPr>
        <w:tabs>
          <w:tab w:val="num" w:pos="4540"/>
        </w:tabs>
        <w:ind w:left="4540" w:hanging="360"/>
      </w:pPr>
      <w:rPr>
        <w:rFonts w:ascii="Symbol" w:hAnsi="Symbol" w:hint="default"/>
      </w:rPr>
    </w:lvl>
    <w:lvl w:ilvl="7" w:tplc="00030409" w:tentative="1">
      <w:start w:val="1"/>
      <w:numFmt w:val="bullet"/>
      <w:lvlText w:val="o"/>
      <w:lvlJc w:val="left"/>
      <w:pPr>
        <w:tabs>
          <w:tab w:val="num" w:pos="5260"/>
        </w:tabs>
        <w:ind w:left="5260" w:hanging="360"/>
      </w:pPr>
      <w:rPr>
        <w:rFonts w:ascii="Courier New" w:hAnsi="Courier New" w:hint="default"/>
      </w:rPr>
    </w:lvl>
    <w:lvl w:ilvl="8" w:tplc="00050409" w:tentative="1">
      <w:start w:val="1"/>
      <w:numFmt w:val="bullet"/>
      <w:lvlText w:val=""/>
      <w:lvlJc w:val="left"/>
      <w:pPr>
        <w:tabs>
          <w:tab w:val="num" w:pos="5980"/>
        </w:tabs>
        <w:ind w:left="5980" w:hanging="360"/>
      </w:pPr>
      <w:rPr>
        <w:rFonts w:ascii="Wingdings" w:hAnsi="Wingdings" w:hint="default"/>
      </w:rPr>
    </w:lvl>
  </w:abstractNum>
  <w:abstractNum w:abstractNumId="9">
    <w:nsid w:val="4DAD196D"/>
    <w:multiLevelType w:val="hybridMultilevel"/>
    <w:tmpl w:val="B010017C"/>
    <w:lvl w:ilvl="0" w:tplc="04090001">
      <w:start w:val="1"/>
      <w:numFmt w:val="bullet"/>
      <w:lvlText w:val=""/>
      <w:lvlJc w:val="left"/>
      <w:pPr>
        <w:tabs>
          <w:tab w:val="num" w:pos="940"/>
        </w:tabs>
        <w:ind w:left="940" w:hanging="360"/>
      </w:pPr>
      <w:rPr>
        <w:rFonts w:ascii="Symbol" w:hAnsi="Symbol" w:hint="default"/>
      </w:rPr>
    </w:lvl>
    <w:lvl w:ilvl="1" w:tplc="04090003" w:tentative="1">
      <w:start w:val="1"/>
      <w:numFmt w:val="bullet"/>
      <w:lvlText w:val="o"/>
      <w:lvlJc w:val="left"/>
      <w:pPr>
        <w:tabs>
          <w:tab w:val="num" w:pos="1660"/>
        </w:tabs>
        <w:ind w:left="1660" w:hanging="360"/>
      </w:pPr>
      <w:rPr>
        <w:rFonts w:ascii="Courier New" w:hAnsi="Courier New" w:hint="default"/>
      </w:rPr>
    </w:lvl>
    <w:lvl w:ilvl="2" w:tplc="04090005" w:tentative="1">
      <w:start w:val="1"/>
      <w:numFmt w:val="bullet"/>
      <w:lvlText w:val=""/>
      <w:lvlJc w:val="left"/>
      <w:pPr>
        <w:tabs>
          <w:tab w:val="num" w:pos="2380"/>
        </w:tabs>
        <w:ind w:left="2380" w:hanging="360"/>
      </w:pPr>
      <w:rPr>
        <w:rFonts w:ascii="Wingdings" w:hAnsi="Wingdings" w:hint="default"/>
      </w:rPr>
    </w:lvl>
    <w:lvl w:ilvl="3" w:tplc="04090001" w:tentative="1">
      <w:start w:val="1"/>
      <w:numFmt w:val="bullet"/>
      <w:lvlText w:val=""/>
      <w:lvlJc w:val="left"/>
      <w:pPr>
        <w:tabs>
          <w:tab w:val="num" w:pos="3100"/>
        </w:tabs>
        <w:ind w:left="3100" w:hanging="360"/>
      </w:pPr>
      <w:rPr>
        <w:rFonts w:ascii="Symbol" w:hAnsi="Symbol" w:hint="default"/>
      </w:rPr>
    </w:lvl>
    <w:lvl w:ilvl="4" w:tplc="04090003" w:tentative="1">
      <w:start w:val="1"/>
      <w:numFmt w:val="bullet"/>
      <w:lvlText w:val="o"/>
      <w:lvlJc w:val="left"/>
      <w:pPr>
        <w:tabs>
          <w:tab w:val="num" w:pos="3820"/>
        </w:tabs>
        <w:ind w:left="3820" w:hanging="360"/>
      </w:pPr>
      <w:rPr>
        <w:rFonts w:ascii="Courier New" w:hAnsi="Courier New" w:hint="default"/>
      </w:rPr>
    </w:lvl>
    <w:lvl w:ilvl="5" w:tplc="04090005" w:tentative="1">
      <w:start w:val="1"/>
      <w:numFmt w:val="bullet"/>
      <w:lvlText w:val=""/>
      <w:lvlJc w:val="left"/>
      <w:pPr>
        <w:tabs>
          <w:tab w:val="num" w:pos="4540"/>
        </w:tabs>
        <w:ind w:left="4540" w:hanging="360"/>
      </w:pPr>
      <w:rPr>
        <w:rFonts w:ascii="Wingdings" w:hAnsi="Wingdings" w:hint="default"/>
      </w:rPr>
    </w:lvl>
    <w:lvl w:ilvl="6" w:tplc="04090001" w:tentative="1">
      <w:start w:val="1"/>
      <w:numFmt w:val="bullet"/>
      <w:lvlText w:val=""/>
      <w:lvlJc w:val="left"/>
      <w:pPr>
        <w:tabs>
          <w:tab w:val="num" w:pos="5260"/>
        </w:tabs>
        <w:ind w:left="5260" w:hanging="360"/>
      </w:pPr>
      <w:rPr>
        <w:rFonts w:ascii="Symbol" w:hAnsi="Symbol" w:hint="default"/>
      </w:rPr>
    </w:lvl>
    <w:lvl w:ilvl="7" w:tplc="04090003" w:tentative="1">
      <w:start w:val="1"/>
      <w:numFmt w:val="bullet"/>
      <w:lvlText w:val="o"/>
      <w:lvlJc w:val="left"/>
      <w:pPr>
        <w:tabs>
          <w:tab w:val="num" w:pos="5980"/>
        </w:tabs>
        <w:ind w:left="5980" w:hanging="360"/>
      </w:pPr>
      <w:rPr>
        <w:rFonts w:ascii="Courier New" w:hAnsi="Courier New" w:hint="default"/>
      </w:rPr>
    </w:lvl>
    <w:lvl w:ilvl="8" w:tplc="04090005" w:tentative="1">
      <w:start w:val="1"/>
      <w:numFmt w:val="bullet"/>
      <w:lvlText w:val=""/>
      <w:lvlJc w:val="left"/>
      <w:pPr>
        <w:tabs>
          <w:tab w:val="num" w:pos="6700"/>
        </w:tabs>
        <w:ind w:left="6700" w:hanging="360"/>
      </w:pPr>
      <w:rPr>
        <w:rFonts w:ascii="Wingdings" w:hAnsi="Wingdings" w:hint="default"/>
      </w:rPr>
    </w:lvl>
  </w:abstractNum>
  <w:abstractNum w:abstractNumId="10">
    <w:nsid w:val="507E4155"/>
    <w:multiLevelType w:val="hybridMultilevel"/>
    <w:tmpl w:val="5AE68EE8"/>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5AAA0180"/>
    <w:multiLevelType w:val="hybridMultilevel"/>
    <w:tmpl w:val="77764C7C"/>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5C382A04"/>
    <w:multiLevelType w:val="hybridMultilevel"/>
    <w:tmpl w:val="3CC24F1A"/>
    <w:lvl w:ilvl="0" w:tplc="78EC8D48">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3">
    <w:nsid w:val="601D73E0"/>
    <w:multiLevelType w:val="hybridMultilevel"/>
    <w:tmpl w:val="5362570C"/>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6E174750"/>
    <w:multiLevelType w:val="hybridMultilevel"/>
    <w:tmpl w:val="F5102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37823D6"/>
    <w:multiLevelType w:val="hybridMultilevel"/>
    <w:tmpl w:val="0C14A772"/>
    <w:lvl w:ilvl="0" w:tplc="78EC8D48">
      <w:start w:val="1"/>
      <w:numFmt w:val="bullet"/>
      <w:lvlText w:val=""/>
      <w:lvlJc w:val="left"/>
      <w:pPr>
        <w:tabs>
          <w:tab w:val="num" w:pos="1080"/>
        </w:tabs>
        <w:ind w:left="108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751C75CB"/>
    <w:multiLevelType w:val="hybridMultilevel"/>
    <w:tmpl w:val="7062BA5E"/>
    <w:lvl w:ilvl="0" w:tplc="78EC8D48">
      <w:start w:val="1"/>
      <w:numFmt w:val="bullet"/>
      <w:lvlText w:val=""/>
      <w:lvlJc w:val="left"/>
      <w:pPr>
        <w:tabs>
          <w:tab w:val="num" w:pos="580"/>
        </w:tabs>
        <w:ind w:left="580" w:hanging="360"/>
      </w:pPr>
      <w:rPr>
        <w:rFonts w:ascii="Symbol" w:hAnsi="Symbol" w:hint="default"/>
      </w:rPr>
    </w:lvl>
    <w:lvl w:ilvl="1" w:tplc="00030409" w:tentative="1">
      <w:start w:val="1"/>
      <w:numFmt w:val="bullet"/>
      <w:lvlText w:val="o"/>
      <w:lvlJc w:val="left"/>
      <w:pPr>
        <w:tabs>
          <w:tab w:val="num" w:pos="1660"/>
        </w:tabs>
        <w:ind w:left="1660" w:hanging="360"/>
      </w:pPr>
      <w:rPr>
        <w:rFonts w:ascii="Courier New" w:hAnsi="Courier New" w:hint="default"/>
      </w:rPr>
    </w:lvl>
    <w:lvl w:ilvl="2" w:tplc="00050409" w:tentative="1">
      <w:start w:val="1"/>
      <w:numFmt w:val="bullet"/>
      <w:lvlText w:val=""/>
      <w:lvlJc w:val="left"/>
      <w:pPr>
        <w:tabs>
          <w:tab w:val="num" w:pos="2380"/>
        </w:tabs>
        <w:ind w:left="2380" w:hanging="360"/>
      </w:pPr>
      <w:rPr>
        <w:rFonts w:ascii="Wingdings" w:hAnsi="Wingdings" w:hint="default"/>
      </w:rPr>
    </w:lvl>
    <w:lvl w:ilvl="3" w:tplc="00010409" w:tentative="1">
      <w:start w:val="1"/>
      <w:numFmt w:val="bullet"/>
      <w:lvlText w:val=""/>
      <w:lvlJc w:val="left"/>
      <w:pPr>
        <w:tabs>
          <w:tab w:val="num" w:pos="3100"/>
        </w:tabs>
        <w:ind w:left="3100" w:hanging="360"/>
      </w:pPr>
      <w:rPr>
        <w:rFonts w:ascii="Symbol" w:hAnsi="Symbol" w:hint="default"/>
      </w:rPr>
    </w:lvl>
    <w:lvl w:ilvl="4" w:tplc="00030409" w:tentative="1">
      <w:start w:val="1"/>
      <w:numFmt w:val="bullet"/>
      <w:lvlText w:val="o"/>
      <w:lvlJc w:val="left"/>
      <w:pPr>
        <w:tabs>
          <w:tab w:val="num" w:pos="3820"/>
        </w:tabs>
        <w:ind w:left="3820" w:hanging="360"/>
      </w:pPr>
      <w:rPr>
        <w:rFonts w:ascii="Courier New" w:hAnsi="Courier New" w:hint="default"/>
      </w:rPr>
    </w:lvl>
    <w:lvl w:ilvl="5" w:tplc="00050409" w:tentative="1">
      <w:start w:val="1"/>
      <w:numFmt w:val="bullet"/>
      <w:lvlText w:val=""/>
      <w:lvlJc w:val="left"/>
      <w:pPr>
        <w:tabs>
          <w:tab w:val="num" w:pos="4540"/>
        </w:tabs>
        <w:ind w:left="4540" w:hanging="360"/>
      </w:pPr>
      <w:rPr>
        <w:rFonts w:ascii="Wingdings" w:hAnsi="Wingdings" w:hint="default"/>
      </w:rPr>
    </w:lvl>
    <w:lvl w:ilvl="6" w:tplc="00010409" w:tentative="1">
      <w:start w:val="1"/>
      <w:numFmt w:val="bullet"/>
      <w:lvlText w:val=""/>
      <w:lvlJc w:val="left"/>
      <w:pPr>
        <w:tabs>
          <w:tab w:val="num" w:pos="5260"/>
        </w:tabs>
        <w:ind w:left="5260" w:hanging="360"/>
      </w:pPr>
      <w:rPr>
        <w:rFonts w:ascii="Symbol" w:hAnsi="Symbol" w:hint="default"/>
      </w:rPr>
    </w:lvl>
    <w:lvl w:ilvl="7" w:tplc="00030409" w:tentative="1">
      <w:start w:val="1"/>
      <w:numFmt w:val="bullet"/>
      <w:lvlText w:val="o"/>
      <w:lvlJc w:val="left"/>
      <w:pPr>
        <w:tabs>
          <w:tab w:val="num" w:pos="5980"/>
        </w:tabs>
        <w:ind w:left="5980" w:hanging="360"/>
      </w:pPr>
      <w:rPr>
        <w:rFonts w:ascii="Courier New" w:hAnsi="Courier New" w:hint="default"/>
      </w:rPr>
    </w:lvl>
    <w:lvl w:ilvl="8" w:tplc="00050409" w:tentative="1">
      <w:start w:val="1"/>
      <w:numFmt w:val="bullet"/>
      <w:lvlText w:val=""/>
      <w:lvlJc w:val="left"/>
      <w:pPr>
        <w:tabs>
          <w:tab w:val="num" w:pos="6700"/>
        </w:tabs>
        <w:ind w:left="6700" w:hanging="360"/>
      </w:pPr>
      <w:rPr>
        <w:rFonts w:ascii="Wingdings" w:hAnsi="Wingdings" w:hint="default"/>
      </w:rPr>
    </w:lvl>
  </w:abstractNum>
  <w:abstractNum w:abstractNumId="17">
    <w:nsid w:val="78EE1FA1"/>
    <w:multiLevelType w:val="hybridMultilevel"/>
    <w:tmpl w:val="2E42049C"/>
    <w:lvl w:ilvl="0" w:tplc="7842066C">
      <w:start w:val="1"/>
      <w:numFmt w:val="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EF25765"/>
    <w:multiLevelType w:val="hybridMultilevel"/>
    <w:tmpl w:val="74E04F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8"/>
  </w:num>
  <w:num w:numId="3">
    <w:abstractNumId w:val="12"/>
  </w:num>
  <w:num w:numId="4">
    <w:abstractNumId w:val="2"/>
  </w:num>
  <w:num w:numId="5">
    <w:abstractNumId w:val="5"/>
  </w:num>
  <w:num w:numId="6">
    <w:abstractNumId w:val="3"/>
  </w:num>
  <w:num w:numId="7">
    <w:abstractNumId w:val="4"/>
  </w:num>
  <w:num w:numId="8">
    <w:abstractNumId w:val="6"/>
  </w:num>
  <w:num w:numId="9">
    <w:abstractNumId w:val="7"/>
  </w:num>
  <w:num w:numId="10">
    <w:abstractNumId w:val="0"/>
  </w:num>
  <w:num w:numId="11">
    <w:abstractNumId w:val="16"/>
  </w:num>
  <w:num w:numId="12">
    <w:abstractNumId w:val="1"/>
  </w:num>
  <w:num w:numId="13">
    <w:abstractNumId w:val="15"/>
  </w:num>
  <w:num w:numId="14">
    <w:abstractNumId w:val="11"/>
  </w:num>
  <w:num w:numId="15">
    <w:abstractNumId w:val="13"/>
  </w:num>
  <w:num w:numId="16">
    <w:abstractNumId w:val="10"/>
  </w:num>
  <w:num w:numId="17">
    <w:abstractNumId w:val="14"/>
  </w:num>
  <w:num w:numId="18">
    <w:abstractNumId w:val="9"/>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rsids>
    <w:rsidRoot w:val="000B7F32"/>
    <w:rsid w:val="000416AD"/>
    <w:rsid w:val="000464A9"/>
    <w:rsid w:val="000569DF"/>
    <w:rsid w:val="000745C7"/>
    <w:rsid w:val="000927CE"/>
    <w:rsid w:val="000A06AA"/>
    <w:rsid w:val="000B7F32"/>
    <w:rsid w:val="000C44F3"/>
    <w:rsid w:val="000E697C"/>
    <w:rsid w:val="0014106E"/>
    <w:rsid w:val="001C4C00"/>
    <w:rsid w:val="00217209"/>
    <w:rsid w:val="002D2623"/>
    <w:rsid w:val="002F2147"/>
    <w:rsid w:val="00494341"/>
    <w:rsid w:val="004C4F5E"/>
    <w:rsid w:val="004D4008"/>
    <w:rsid w:val="005725BA"/>
    <w:rsid w:val="0057718E"/>
    <w:rsid w:val="005847C9"/>
    <w:rsid w:val="005A45F0"/>
    <w:rsid w:val="005F73AC"/>
    <w:rsid w:val="0062268B"/>
    <w:rsid w:val="006962FC"/>
    <w:rsid w:val="00736D2D"/>
    <w:rsid w:val="007610FD"/>
    <w:rsid w:val="00777251"/>
    <w:rsid w:val="00781686"/>
    <w:rsid w:val="00801E53"/>
    <w:rsid w:val="00835006"/>
    <w:rsid w:val="00837CB1"/>
    <w:rsid w:val="00845497"/>
    <w:rsid w:val="0086562A"/>
    <w:rsid w:val="008953DF"/>
    <w:rsid w:val="00A07441"/>
    <w:rsid w:val="00A36AE0"/>
    <w:rsid w:val="00A4446A"/>
    <w:rsid w:val="00AF6698"/>
    <w:rsid w:val="00BE012C"/>
    <w:rsid w:val="00C40242"/>
    <w:rsid w:val="00C96A40"/>
    <w:rsid w:val="00CA7F8E"/>
    <w:rsid w:val="00D21EED"/>
    <w:rsid w:val="00DB3000"/>
    <w:rsid w:val="00E27795"/>
    <w:rsid w:val="00E35974"/>
    <w:rsid w:val="00E737A5"/>
    <w:rsid w:val="00F20B4A"/>
    <w:rsid w:val="00FA126D"/>
  </w:rsids>
  <m:mathPr>
    <m:mathFont m:val="ヒラギノ角ゴ Pro W3"/>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92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0B7F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C4C00"/>
    <w:pPr>
      <w:ind w:left="720"/>
      <w:contextualSpacing/>
    </w:pPr>
  </w:style>
  <w:style w:type="character" w:styleId="Hyperlink">
    <w:name w:val="Hyperlink"/>
    <w:basedOn w:val="DefaultParagraphFont"/>
    <w:uiPriority w:val="99"/>
    <w:semiHidden/>
    <w:unhideWhenUsed/>
    <w:rsid w:val="000C44F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92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B7F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C4C0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hpregional.org/departments" TargetMode="External"/><Relationship Id="rId7" Type="http://schemas.openxmlformats.org/officeDocument/2006/relationships/fontTable" Target="fontTable.xml"/><Relationship Id="rId8" Type="http://schemas.openxmlformats.org/officeDocument/2006/relationships/theme" Target="theme/theme1.xml"/><Relationship Id="rId9"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9F823-2017-604A-A3A2-B09517E2C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610</Words>
  <Characters>3478</Characters>
  <Application>Microsoft Macintosh Word</Application>
  <DocSecurity>0</DocSecurity>
  <Lines>28</Lines>
  <Paragraphs>6</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4271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Terrill Laura</dc:creator>
  <cp:lastModifiedBy>Laura Terrill</cp:lastModifiedBy>
  <cp:revision>11</cp:revision>
  <dcterms:created xsi:type="dcterms:W3CDTF">2012-05-21T19:10:00Z</dcterms:created>
  <dcterms:modified xsi:type="dcterms:W3CDTF">2012-05-26T02:19:00Z</dcterms:modified>
</cp:coreProperties>
</file>